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2E8" w:rsidRDefault="00B802E8" w:rsidP="000404ED">
      <w:pPr>
        <w:spacing w:line="360" w:lineRule="auto"/>
        <w:jc w:val="center"/>
        <w:rPr>
          <w:rFonts w:cs="Guttman Calligraphic"/>
          <w:b/>
          <w:bCs/>
          <w:sz w:val="36"/>
          <w:szCs w:val="36"/>
          <w:rtl/>
        </w:rPr>
      </w:pPr>
      <w:r>
        <w:rPr>
          <w:rFonts w:cs="Guttman Calligraphic"/>
          <w:b/>
          <w:bCs/>
          <w:noProof/>
          <w:sz w:val="36"/>
          <w:szCs w:val="36"/>
        </w:rPr>
        <w:drawing>
          <wp:inline distT="0" distB="0" distL="0" distR="0" wp14:anchorId="3145BF41" wp14:editId="5BC6EBC4">
            <wp:extent cx="428625" cy="514350"/>
            <wp:effectExtent l="0" t="0" r="952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r w:rsidRPr="003453BA">
        <w:rPr>
          <w:rFonts w:cs="Guttman Calligraphic" w:hint="cs"/>
          <w:b/>
          <w:bCs/>
          <w:sz w:val="36"/>
          <w:szCs w:val="36"/>
          <w:rtl/>
        </w:rPr>
        <w:t xml:space="preserve"> </w:t>
      </w:r>
      <w:r>
        <w:rPr>
          <w:rFonts w:cs="Guttman Calligraphic" w:hint="cs"/>
          <w:b/>
          <w:bCs/>
          <w:sz w:val="36"/>
          <w:szCs w:val="36"/>
          <w:u w:val="single"/>
          <w:rtl/>
        </w:rPr>
        <w:t xml:space="preserve">משימה לבית- אזרחות </w:t>
      </w:r>
      <w:bookmarkStart w:id="0" w:name="_GoBack"/>
      <w:bookmarkEnd w:id="0"/>
    </w:p>
    <w:p w:rsidR="00B802E8" w:rsidRPr="00684CAE" w:rsidRDefault="00B802E8" w:rsidP="00B802E8">
      <w:pPr>
        <w:numPr>
          <w:ilvl w:val="0"/>
          <w:numId w:val="1"/>
        </w:numPr>
        <w:spacing w:line="360" w:lineRule="auto"/>
        <w:jc w:val="both"/>
        <w:rPr>
          <w:rFonts w:cs="David"/>
        </w:rPr>
      </w:pPr>
      <w:r w:rsidRPr="00684CAE">
        <w:rPr>
          <w:rFonts w:cs="David" w:hint="cs"/>
          <w:rtl/>
        </w:rPr>
        <w:t xml:space="preserve">הסבר </w:t>
      </w:r>
      <w:r w:rsidRPr="00684CAE">
        <w:rPr>
          <w:rFonts w:cs="David" w:hint="cs"/>
          <w:u w:val="single"/>
          <w:rtl/>
        </w:rPr>
        <w:t>שני</w:t>
      </w:r>
      <w:r w:rsidRPr="00684CAE">
        <w:rPr>
          <w:rFonts w:cs="David" w:hint="cs"/>
          <w:rtl/>
        </w:rPr>
        <w:t xml:space="preserve"> הבדלים בין שלטון החוק במדינה דמוקרטית לבין שלטון החוק במדינה שהמשטר בה </w:t>
      </w:r>
      <w:r w:rsidRPr="00684CAE">
        <w:rPr>
          <w:rFonts w:cs="David" w:hint="cs"/>
          <w:u w:val="single"/>
          <w:rtl/>
        </w:rPr>
        <w:t>אינו</w:t>
      </w:r>
      <w:r w:rsidRPr="00684CAE">
        <w:rPr>
          <w:rFonts w:cs="David" w:hint="cs"/>
          <w:rtl/>
        </w:rPr>
        <w:t xml:space="preserve"> דמוקרטי. </w:t>
      </w:r>
    </w:p>
    <w:p w:rsidR="00B802E8" w:rsidRPr="00684CAE" w:rsidRDefault="00B802E8" w:rsidP="00B802E8">
      <w:pPr>
        <w:numPr>
          <w:ilvl w:val="0"/>
          <w:numId w:val="1"/>
        </w:numPr>
        <w:spacing w:line="360" w:lineRule="auto"/>
        <w:jc w:val="both"/>
        <w:rPr>
          <w:rFonts w:cs="David"/>
        </w:rPr>
      </w:pPr>
      <w:r w:rsidRPr="00684CAE">
        <w:rPr>
          <w:rFonts w:cs="David" w:hint="cs"/>
          <w:rtl/>
        </w:rPr>
        <w:t>הסבר מהו המובן המהותי של שלטון החוק?</w:t>
      </w:r>
    </w:p>
    <w:p w:rsidR="00B802E8" w:rsidRPr="00684CAE" w:rsidRDefault="00B802E8" w:rsidP="00B802E8">
      <w:pPr>
        <w:pStyle w:val="a3"/>
        <w:numPr>
          <w:ilvl w:val="0"/>
          <w:numId w:val="1"/>
        </w:numPr>
        <w:spacing w:line="360" w:lineRule="auto"/>
        <w:jc w:val="both"/>
        <w:rPr>
          <w:rFonts w:ascii="Arial" w:hAnsi="Arial" w:cs="David"/>
          <w:sz w:val="24"/>
          <w:szCs w:val="24"/>
        </w:rPr>
      </w:pPr>
      <w:r w:rsidRPr="00684CAE">
        <w:rPr>
          <w:rFonts w:ascii="Times New Roman" w:eastAsia="Times New Roman" w:hAnsi="Times New Roman" w:cs="David" w:hint="cs"/>
          <w:sz w:val="24"/>
          <w:szCs w:val="24"/>
          <w:rtl/>
        </w:rPr>
        <w:t>כדי לעודד מורים ללמד ביישובים מרוחקים ממרכז הארץ, חוקקה הכנסת חוק חדש. על פי חוק זה ניתנות הטבות כספיות למורים המלמדים ביישובים מסוימים. כמעט כל היישובים האלה הם יהודיים, ואילו מורים המלמדים ביישובים ערביים, הסמוכים ליישובים יהודיים אלה, אינם זכאים להטבות אלה. המורים שאינם זכאים להטבות עתרו לבג"ץ, בטענה שהחוק פוגע בעקרון שלטון החוק.</w:t>
      </w:r>
    </w:p>
    <w:p w:rsidR="00B802E8" w:rsidRPr="00684CAE" w:rsidRDefault="00B802E8" w:rsidP="00B802E8">
      <w:pPr>
        <w:pStyle w:val="a3"/>
        <w:numPr>
          <w:ilvl w:val="0"/>
          <w:numId w:val="2"/>
        </w:numPr>
        <w:spacing w:after="0" w:line="360" w:lineRule="auto"/>
        <w:ind w:left="1080"/>
        <w:jc w:val="both"/>
        <w:rPr>
          <w:rFonts w:ascii="Times New Roman" w:eastAsia="Times New Roman" w:hAnsi="Times New Roman" w:cs="David"/>
          <w:sz w:val="24"/>
          <w:szCs w:val="24"/>
          <w:rtl/>
        </w:rPr>
      </w:pPr>
      <w:r w:rsidRPr="00684CAE">
        <w:rPr>
          <w:rFonts w:cs="David" w:hint="cs"/>
          <w:sz w:val="24"/>
          <w:szCs w:val="24"/>
          <w:rtl/>
        </w:rPr>
        <w:t xml:space="preserve">ציין והצג </w:t>
      </w:r>
      <w:r w:rsidRPr="00684CAE">
        <w:rPr>
          <w:rFonts w:ascii="Times New Roman" w:eastAsia="Times New Roman" w:hAnsi="Times New Roman" w:cs="David" w:hint="cs"/>
          <w:sz w:val="24"/>
          <w:szCs w:val="24"/>
          <w:rtl/>
        </w:rPr>
        <w:t>את ה</w:t>
      </w:r>
      <w:r w:rsidRPr="00684CAE">
        <w:rPr>
          <w:rFonts w:ascii="Times New Roman" w:eastAsia="Times New Roman" w:hAnsi="Times New Roman" w:cs="David" w:hint="cs"/>
          <w:sz w:val="24"/>
          <w:szCs w:val="24"/>
          <w:u w:val="single"/>
          <w:rtl/>
        </w:rPr>
        <w:t>מובן</w:t>
      </w:r>
      <w:r w:rsidRPr="00684CAE">
        <w:rPr>
          <w:rFonts w:ascii="Times New Roman" w:eastAsia="Times New Roman" w:hAnsi="Times New Roman" w:cs="David" w:hint="cs"/>
          <w:sz w:val="24"/>
          <w:szCs w:val="24"/>
          <w:rtl/>
        </w:rPr>
        <w:t xml:space="preserve"> של שלטון החוק, שנפגע בעקבות חקיקת החוק החדש. </w:t>
      </w:r>
    </w:p>
    <w:p w:rsidR="00B802E8" w:rsidRPr="00684CAE" w:rsidRDefault="00B802E8" w:rsidP="00B802E8">
      <w:pPr>
        <w:pStyle w:val="a3"/>
        <w:spacing w:after="0" w:line="360" w:lineRule="auto"/>
        <w:ind w:left="1080"/>
        <w:jc w:val="both"/>
        <w:rPr>
          <w:rFonts w:ascii="Times New Roman" w:eastAsia="Times New Roman" w:hAnsi="Times New Roman" w:cs="David"/>
          <w:sz w:val="24"/>
          <w:szCs w:val="24"/>
          <w:rtl/>
        </w:rPr>
      </w:pPr>
      <w:r w:rsidRPr="00684CAE">
        <w:rPr>
          <w:rFonts w:ascii="Times New Roman" w:eastAsia="Times New Roman" w:hAnsi="Times New Roman" w:cs="David" w:hint="cs"/>
          <w:sz w:val="24"/>
          <w:szCs w:val="24"/>
          <w:rtl/>
        </w:rPr>
        <w:t>הסבר כיצד מובן זה בא לידי ביטוי בקטע.</w:t>
      </w:r>
    </w:p>
    <w:p w:rsidR="00B802E8" w:rsidRPr="00684CAE" w:rsidRDefault="00B802E8" w:rsidP="00B802E8">
      <w:pPr>
        <w:pStyle w:val="a3"/>
        <w:numPr>
          <w:ilvl w:val="0"/>
          <w:numId w:val="1"/>
        </w:numPr>
        <w:spacing w:after="0" w:line="360" w:lineRule="auto"/>
        <w:jc w:val="both"/>
        <w:rPr>
          <w:rFonts w:ascii="Times New Roman" w:eastAsia="Times New Roman" w:hAnsi="Times New Roman" w:cs="David"/>
          <w:sz w:val="24"/>
          <w:szCs w:val="24"/>
          <w:rtl/>
        </w:rPr>
      </w:pPr>
      <w:r w:rsidRPr="00684CAE">
        <w:rPr>
          <w:rFonts w:ascii="Times New Roman" w:eastAsia="Times New Roman" w:hAnsi="Times New Roman" w:cs="David" w:hint="cs"/>
          <w:sz w:val="24"/>
          <w:szCs w:val="24"/>
          <w:rtl/>
        </w:rPr>
        <w:t>שוטרים הגיעו לביתו של חשו</w:t>
      </w:r>
      <w:r>
        <w:rPr>
          <w:rFonts w:ascii="Times New Roman" w:eastAsia="Times New Roman" w:hAnsi="Times New Roman" w:cs="David" w:hint="cs"/>
          <w:sz w:val="24"/>
          <w:szCs w:val="24"/>
          <w:rtl/>
        </w:rPr>
        <w:t>ד</w:t>
      </w:r>
      <w:r w:rsidRPr="00684CAE">
        <w:rPr>
          <w:rFonts w:ascii="Times New Roman" w:eastAsia="Times New Roman" w:hAnsi="Times New Roman" w:cs="David" w:hint="cs"/>
          <w:sz w:val="24"/>
          <w:szCs w:val="24"/>
          <w:rtl/>
        </w:rPr>
        <w:t xml:space="preserve"> בהעלמת מס, ובידם צו של בית משפט. מטרתם הייתה לערוך חיפוש בבית כדי להחרים מסמכים הדרושים לחקירת העניין. חברת כנסת, שהבית הוא בית משפחתה, מנעה מהשוטרים לערוך את החיפוש בטענה כי גם היא מתגוררת בבית זה ויש לה חסינות.</w:t>
      </w:r>
    </w:p>
    <w:p w:rsidR="00B802E8" w:rsidRPr="00684CAE" w:rsidRDefault="00B802E8" w:rsidP="00B802E8">
      <w:pPr>
        <w:spacing w:line="360" w:lineRule="auto"/>
        <w:ind w:left="720"/>
        <w:jc w:val="both"/>
        <w:rPr>
          <w:rFonts w:cs="David"/>
          <w:rtl/>
        </w:rPr>
      </w:pPr>
      <w:r w:rsidRPr="00684CAE">
        <w:rPr>
          <w:rFonts w:cs="David" w:hint="cs"/>
          <w:rtl/>
        </w:rPr>
        <w:t>איש ציבור מתח ביקורת על התנהגותה של חברת הכנסת. לדבריו, אמנם מה שעשתה היה חוקי, אבל מקרה זה רק מדגיש עד כמה חוק החסינות, כפי שהוא נהוג בישראל, פוגע בעיקרון השוויון.</w:t>
      </w:r>
    </w:p>
    <w:p w:rsidR="00B802E8" w:rsidRPr="00684CAE" w:rsidRDefault="00B802E8" w:rsidP="00B802E8">
      <w:pPr>
        <w:pStyle w:val="a3"/>
        <w:numPr>
          <w:ilvl w:val="0"/>
          <w:numId w:val="2"/>
        </w:numPr>
        <w:spacing w:after="0" w:line="360" w:lineRule="auto"/>
        <w:ind w:left="1080"/>
        <w:jc w:val="both"/>
        <w:rPr>
          <w:rFonts w:ascii="Times New Roman" w:eastAsia="Times New Roman" w:hAnsi="Times New Roman" w:cs="David"/>
          <w:sz w:val="24"/>
          <w:szCs w:val="24"/>
        </w:rPr>
      </w:pPr>
      <w:r w:rsidRPr="00684CAE">
        <w:rPr>
          <w:rFonts w:cs="David" w:hint="cs"/>
          <w:sz w:val="24"/>
          <w:szCs w:val="24"/>
          <w:rtl/>
        </w:rPr>
        <w:t xml:space="preserve">ציין והצג </w:t>
      </w:r>
      <w:r w:rsidRPr="00684CAE">
        <w:rPr>
          <w:rFonts w:ascii="Times New Roman" w:eastAsia="Times New Roman" w:hAnsi="Times New Roman" w:cs="David" w:hint="cs"/>
          <w:sz w:val="24"/>
          <w:szCs w:val="24"/>
          <w:rtl/>
        </w:rPr>
        <w:t>את ה</w:t>
      </w:r>
      <w:r w:rsidRPr="00684CAE">
        <w:rPr>
          <w:rFonts w:ascii="Times New Roman" w:eastAsia="Times New Roman" w:hAnsi="Times New Roman" w:cs="David" w:hint="cs"/>
          <w:sz w:val="24"/>
          <w:szCs w:val="24"/>
          <w:u w:val="single"/>
          <w:rtl/>
        </w:rPr>
        <w:t>מובן</w:t>
      </w:r>
      <w:r w:rsidRPr="00684CAE">
        <w:rPr>
          <w:rFonts w:ascii="Times New Roman" w:eastAsia="Times New Roman" w:hAnsi="Times New Roman" w:cs="David" w:hint="cs"/>
          <w:sz w:val="24"/>
          <w:szCs w:val="24"/>
          <w:rtl/>
        </w:rPr>
        <w:t xml:space="preserve"> של שלטון החוק שלפיו ביסס איש הציבור את ביקורתו. </w:t>
      </w:r>
    </w:p>
    <w:p w:rsidR="00B802E8" w:rsidRPr="00684CAE" w:rsidRDefault="00B802E8" w:rsidP="00B802E8">
      <w:pPr>
        <w:spacing w:line="360" w:lineRule="auto"/>
        <w:ind w:left="720"/>
        <w:jc w:val="both"/>
        <w:rPr>
          <w:rFonts w:cs="David"/>
          <w:rtl/>
        </w:rPr>
      </w:pPr>
      <w:r w:rsidRPr="00684CAE">
        <w:rPr>
          <w:rFonts w:cs="David" w:hint="cs"/>
          <w:rtl/>
        </w:rPr>
        <w:t>הסבר כיצד מובן זה בא לידי ביטוי בקטע.</w:t>
      </w:r>
    </w:p>
    <w:p w:rsidR="00B802E8" w:rsidRPr="00684CAE" w:rsidRDefault="00B802E8" w:rsidP="00B802E8">
      <w:pPr>
        <w:pStyle w:val="a4"/>
        <w:numPr>
          <w:ilvl w:val="0"/>
          <w:numId w:val="1"/>
        </w:numPr>
        <w:spacing w:line="360" w:lineRule="auto"/>
        <w:jc w:val="both"/>
        <w:rPr>
          <w:rFonts w:cs="David"/>
          <w:sz w:val="24"/>
          <w:szCs w:val="24"/>
        </w:rPr>
      </w:pPr>
      <w:r w:rsidRPr="00684CAE">
        <w:rPr>
          <w:rFonts w:cs="David"/>
          <w:sz w:val="24"/>
          <w:szCs w:val="24"/>
          <w:rtl/>
        </w:rPr>
        <w:t xml:space="preserve">באחד </w:t>
      </w:r>
      <w:r w:rsidRPr="00684CAE">
        <w:rPr>
          <w:rFonts w:cs="David" w:hint="cs"/>
          <w:sz w:val="24"/>
          <w:szCs w:val="24"/>
          <w:rtl/>
        </w:rPr>
        <w:t>מיישובי</w:t>
      </w:r>
      <w:r w:rsidRPr="00684CAE">
        <w:rPr>
          <w:rFonts w:cs="David"/>
          <w:sz w:val="24"/>
          <w:szCs w:val="24"/>
          <w:rtl/>
        </w:rPr>
        <w:t xml:space="preserve"> הבדווים בנגב , הילדים חייבים לחצות ערוץ של נחל , כדי להגיע לבית הספר שבו הם לומדים. בעונת הגשמים יש שיטפונות בנחל. העמותה לדו קיום בנגב עתרה לבג"ץ בדרישה שיחייב את המדינה לבנות גשר מעל ערוץ הנחל. בדיון בבג"ץ טען נציב המדינה שהמדינה אינה חייבת לספק ליישוב הבדווי שירותים, כמו ביוב ,חשמל, או כבישים מכיוון שהישוב נבנה ללא אישור מהמדינה ואין לו מעמד חוקי. בג"ץ החליט שהמדינה חייבת לבנות את הגשר. הנימוק להחלטתו היה שאמנם אין לישוב מעמד חוקי , אבל במקרה זה גוברת חובת המדינה להגן על זכויות אזרחיה.</w:t>
      </w:r>
    </w:p>
    <w:p w:rsidR="00B802E8" w:rsidRPr="00684CAE" w:rsidRDefault="00B802E8" w:rsidP="00B802E8">
      <w:pPr>
        <w:pStyle w:val="a3"/>
        <w:numPr>
          <w:ilvl w:val="0"/>
          <w:numId w:val="2"/>
        </w:numPr>
        <w:spacing w:after="0" w:line="360" w:lineRule="auto"/>
        <w:ind w:left="1080"/>
        <w:jc w:val="both"/>
        <w:rPr>
          <w:rFonts w:ascii="Times New Roman" w:eastAsia="Times New Roman" w:hAnsi="Times New Roman" w:cs="David"/>
          <w:sz w:val="24"/>
          <w:szCs w:val="24"/>
          <w:rtl/>
        </w:rPr>
      </w:pPr>
      <w:r w:rsidRPr="00684CAE">
        <w:rPr>
          <w:rFonts w:cs="David" w:hint="cs"/>
          <w:sz w:val="24"/>
          <w:szCs w:val="24"/>
          <w:rtl/>
        </w:rPr>
        <w:t xml:space="preserve">ציין והצג </w:t>
      </w:r>
      <w:r w:rsidRPr="00684CAE">
        <w:rPr>
          <w:rFonts w:ascii="Times New Roman" w:eastAsia="Times New Roman" w:hAnsi="Times New Roman" w:cs="David" w:hint="cs"/>
          <w:sz w:val="24"/>
          <w:szCs w:val="24"/>
          <w:rtl/>
        </w:rPr>
        <w:t>את ה</w:t>
      </w:r>
      <w:r w:rsidRPr="00684CAE">
        <w:rPr>
          <w:rFonts w:ascii="Times New Roman" w:eastAsia="Times New Roman" w:hAnsi="Times New Roman" w:cs="David" w:hint="cs"/>
          <w:sz w:val="24"/>
          <w:szCs w:val="24"/>
          <w:u w:val="single"/>
          <w:rtl/>
        </w:rPr>
        <w:t>מובן</w:t>
      </w:r>
      <w:r w:rsidRPr="00684CAE">
        <w:rPr>
          <w:rFonts w:ascii="Times New Roman" w:eastAsia="Times New Roman" w:hAnsi="Times New Roman" w:cs="David" w:hint="cs"/>
          <w:sz w:val="24"/>
          <w:szCs w:val="24"/>
          <w:rtl/>
        </w:rPr>
        <w:t xml:space="preserve"> של שלטון החוק </w:t>
      </w:r>
      <w:r w:rsidRPr="00684CAE">
        <w:rPr>
          <w:rFonts w:cs="David" w:hint="cs"/>
          <w:sz w:val="24"/>
          <w:szCs w:val="24"/>
          <w:rtl/>
        </w:rPr>
        <w:t>שעליו בי</w:t>
      </w:r>
      <w:r w:rsidRPr="00684CAE">
        <w:rPr>
          <w:rFonts w:cs="David"/>
          <w:sz w:val="24"/>
          <w:szCs w:val="24"/>
          <w:rtl/>
        </w:rPr>
        <w:t>סס נציג המדינה את טענתו.</w:t>
      </w:r>
    </w:p>
    <w:p w:rsidR="00B802E8" w:rsidRPr="00AB7E4C" w:rsidRDefault="00B802E8" w:rsidP="00B802E8">
      <w:pPr>
        <w:pStyle w:val="a4"/>
        <w:spacing w:line="360" w:lineRule="auto"/>
        <w:ind w:left="1080"/>
        <w:jc w:val="both"/>
        <w:rPr>
          <w:rFonts w:cs="David"/>
          <w:sz w:val="24"/>
          <w:szCs w:val="24"/>
          <w:rtl/>
        </w:rPr>
      </w:pPr>
      <w:r w:rsidRPr="00684CAE">
        <w:rPr>
          <w:rFonts w:ascii="Times New Roman" w:eastAsia="Times New Roman" w:hAnsi="Times New Roman" w:cs="David" w:hint="cs"/>
          <w:sz w:val="24"/>
          <w:szCs w:val="24"/>
          <w:rtl/>
        </w:rPr>
        <w:t>הסבר כיצד מובן זה בא לידי ביטוי בקטע.</w:t>
      </w:r>
    </w:p>
    <w:p w:rsidR="00B802E8" w:rsidRDefault="00B802E8" w:rsidP="00B802E8">
      <w:pPr>
        <w:spacing w:line="360" w:lineRule="auto"/>
        <w:jc w:val="center"/>
        <w:rPr>
          <w:rFonts w:cs="Guttman Calligraphic"/>
          <w:b/>
          <w:bCs/>
          <w:sz w:val="36"/>
          <w:szCs w:val="36"/>
          <w:rtl/>
        </w:rPr>
      </w:pPr>
    </w:p>
    <w:p w:rsidR="00B802E8" w:rsidRDefault="00B802E8" w:rsidP="00B802E8">
      <w:pPr>
        <w:spacing w:line="360" w:lineRule="auto"/>
        <w:jc w:val="center"/>
        <w:rPr>
          <w:rFonts w:cs="Guttman Calligraphic"/>
          <w:b/>
          <w:bCs/>
          <w:sz w:val="36"/>
          <w:szCs w:val="36"/>
          <w:rtl/>
        </w:rPr>
      </w:pPr>
    </w:p>
    <w:p w:rsidR="00017202" w:rsidRDefault="00017202"/>
    <w:sectPr w:rsidR="00017202" w:rsidSect="00DC6A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Calligraphic">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0279"/>
    <w:multiLevelType w:val="hybridMultilevel"/>
    <w:tmpl w:val="A6E2A232"/>
    <w:lvl w:ilvl="0" w:tplc="E55A6A88">
      <w:start w:val="1"/>
      <w:numFmt w:val="decimal"/>
      <w:lvlText w:val="%1."/>
      <w:lvlJc w:val="left"/>
      <w:pPr>
        <w:tabs>
          <w:tab w:val="num" w:pos="720"/>
        </w:tabs>
        <w:ind w:left="720" w:hanging="360"/>
      </w:p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nsid w:val="59F13343"/>
    <w:multiLevelType w:val="hybridMultilevel"/>
    <w:tmpl w:val="6D9451F8"/>
    <w:lvl w:ilvl="0" w:tplc="2CE23236">
      <w:start w:val="1"/>
      <w:numFmt w:val="bullet"/>
      <w:lvlText w:val="-"/>
      <w:lvlJc w:val="left"/>
      <w:pPr>
        <w:ind w:left="720" w:hanging="360"/>
      </w:pPr>
      <w:rPr>
        <w:rFonts w:ascii="Times New Roman" w:eastAsia="Times New Roman" w:hAnsi="Times New Roman" w:cs="David" w:hint="default"/>
        <w:b w:val="0"/>
        <w:bCs w:val="0"/>
        <w:color w:val="auto"/>
        <w:u w:val="none"/>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E8"/>
    <w:rsid w:val="00017202"/>
    <w:rsid w:val="000404ED"/>
    <w:rsid w:val="00B802E8"/>
    <w:rsid w:val="00DC6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2E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2E8"/>
    <w:pPr>
      <w:spacing w:after="200" w:line="276" w:lineRule="auto"/>
      <w:ind w:left="720"/>
      <w:contextualSpacing/>
    </w:pPr>
    <w:rPr>
      <w:rFonts w:asciiTheme="minorHAnsi" w:eastAsiaTheme="minorHAnsi" w:hAnsiTheme="minorHAnsi" w:cstheme="minorBidi"/>
      <w:sz w:val="22"/>
      <w:szCs w:val="22"/>
    </w:rPr>
  </w:style>
  <w:style w:type="paragraph" w:styleId="a4">
    <w:name w:val="No Spacing"/>
    <w:uiPriority w:val="1"/>
    <w:qFormat/>
    <w:rsid w:val="00B802E8"/>
    <w:pPr>
      <w:bidi/>
      <w:spacing w:after="0" w:line="240" w:lineRule="auto"/>
    </w:pPr>
  </w:style>
  <w:style w:type="paragraph" w:styleId="a5">
    <w:name w:val="Balloon Text"/>
    <w:basedOn w:val="a"/>
    <w:link w:val="a6"/>
    <w:uiPriority w:val="99"/>
    <w:semiHidden/>
    <w:unhideWhenUsed/>
    <w:rsid w:val="00B802E8"/>
    <w:rPr>
      <w:rFonts w:ascii="Tahoma" w:hAnsi="Tahoma" w:cs="Tahoma"/>
      <w:sz w:val="16"/>
      <w:szCs w:val="16"/>
    </w:rPr>
  </w:style>
  <w:style w:type="character" w:customStyle="1" w:styleId="a6">
    <w:name w:val="טקסט בלונים תו"/>
    <w:basedOn w:val="a0"/>
    <w:link w:val="a5"/>
    <w:uiPriority w:val="99"/>
    <w:semiHidden/>
    <w:rsid w:val="00B802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2E8"/>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2E8"/>
    <w:pPr>
      <w:spacing w:after="200" w:line="276" w:lineRule="auto"/>
      <w:ind w:left="720"/>
      <w:contextualSpacing/>
    </w:pPr>
    <w:rPr>
      <w:rFonts w:asciiTheme="minorHAnsi" w:eastAsiaTheme="minorHAnsi" w:hAnsiTheme="minorHAnsi" w:cstheme="minorBidi"/>
      <w:sz w:val="22"/>
      <w:szCs w:val="22"/>
    </w:rPr>
  </w:style>
  <w:style w:type="paragraph" w:styleId="a4">
    <w:name w:val="No Spacing"/>
    <w:uiPriority w:val="1"/>
    <w:qFormat/>
    <w:rsid w:val="00B802E8"/>
    <w:pPr>
      <w:bidi/>
      <w:spacing w:after="0" w:line="240" w:lineRule="auto"/>
    </w:pPr>
  </w:style>
  <w:style w:type="paragraph" w:styleId="a5">
    <w:name w:val="Balloon Text"/>
    <w:basedOn w:val="a"/>
    <w:link w:val="a6"/>
    <w:uiPriority w:val="99"/>
    <w:semiHidden/>
    <w:unhideWhenUsed/>
    <w:rsid w:val="00B802E8"/>
    <w:rPr>
      <w:rFonts w:ascii="Tahoma" w:hAnsi="Tahoma" w:cs="Tahoma"/>
      <w:sz w:val="16"/>
      <w:szCs w:val="16"/>
    </w:rPr>
  </w:style>
  <w:style w:type="character" w:customStyle="1" w:styleId="a6">
    <w:name w:val="טקסט בלונים תו"/>
    <w:basedOn w:val="a0"/>
    <w:link w:val="a5"/>
    <w:uiPriority w:val="99"/>
    <w:semiHidden/>
    <w:rsid w:val="00B802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1431</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2012-10-22T04:12:00Z</dcterms:created>
  <dcterms:modified xsi:type="dcterms:W3CDTF">2012-10-23T06:15:00Z</dcterms:modified>
</cp:coreProperties>
</file>