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7E9" w:rsidRDefault="00F05DCB" w:rsidP="00F05DCB">
      <w:pPr>
        <w:jc w:val="center"/>
        <w:rPr>
          <w:b/>
          <w:bCs/>
          <w:sz w:val="24"/>
          <w:szCs w:val="24"/>
          <w:u w:val="single"/>
          <w:rtl/>
        </w:rPr>
      </w:pPr>
      <w:bookmarkStart w:id="0" w:name="_GoBack"/>
      <w:bookmarkEnd w:id="0"/>
      <w:r>
        <w:rPr>
          <w:rFonts w:hint="cs"/>
          <w:b/>
          <w:bCs/>
          <w:sz w:val="24"/>
          <w:szCs w:val="24"/>
          <w:u w:val="single"/>
          <w:rtl/>
        </w:rPr>
        <w:t>תוכנית לימודים בתנ"ך שנה"ל תשע"ג</w:t>
      </w:r>
      <w:r w:rsidRPr="00F05DCB">
        <w:rPr>
          <w:rFonts w:hint="cs"/>
          <w:b/>
          <w:bCs/>
          <w:sz w:val="24"/>
          <w:szCs w:val="24"/>
          <w:u w:val="single"/>
          <w:rtl/>
        </w:rPr>
        <w:t>- כיתה ט':</w:t>
      </w:r>
    </w:p>
    <w:p w:rsidR="00F05DCB" w:rsidRPr="00E17C5D" w:rsidRDefault="00F05DCB" w:rsidP="00F05DCB">
      <w:pPr>
        <w:spacing w:line="360" w:lineRule="auto"/>
        <w:ind w:left="-58"/>
        <w:rPr>
          <w:rtl/>
        </w:rPr>
      </w:pPr>
      <w:r w:rsidRPr="00E17C5D">
        <w:rPr>
          <w:rFonts w:hint="eastAsia"/>
          <w:b/>
          <w:bCs/>
          <w:rtl/>
        </w:rPr>
        <w:t>שמואל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א</w:t>
      </w:r>
      <w:r w:rsidRPr="00E17C5D">
        <w:rPr>
          <w:b/>
          <w:bCs/>
          <w:rtl/>
        </w:rPr>
        <w:t xml:space="preserve">' :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ח</w:t>
      </w:r>
      <w:r>
        <w:rPr>
          <w:rFonts w:hint="cs"/>
          <w:rtl/>
        </w:rPr>
        <w:t xml:space="preserve">, </w:t>
      </w:r>
      <w:r w:rsidRPr="00E17C5D">
        <w:rPr>
          <w:rFonts w:hint="eastAsia"/>
          <w:rtl/>
        </w:rPr>
        <w:t>ל</w:t>
      </w:r>
      <w:r>
        <w:rPr>
          <w:rFonts w:hint="cs"/>
          <w:rtl/>
        </w:rPr>
        <w:t>"</w:t>
      </w:r>
      <w:r w:rsidRPr="00E17C5D">
        <w:rPr>
          <w:rFonts w:hint="eastAsia"/>
          <w:rtl/>
        </w:rPr>
        <w:t>א</w:t>
      </w:r>
    </w:p>
    <w:p w:rsidR="00F05DCB" w:rsidRPr="00E17C5D" w:rsidRDefault="00F05DCB" w:rsidP="00F05DCB">
      <w:pPr>
        <w:spacing w:line="360" w:lineRule="auto"/>
        <w:ind w:left="-58"/>
        <w:rPr>
          <w:rtl/>
        </w:rPr>
      </w:pPr>
      <w:r w:rsidRPr="00E17C5D">
        <w:rPr>
          <w:rFonts w:hint="eastAsia"/>
          <w:b/>
          <w:bCs/>
          <w:rtl/>
        </w:rPr>
        <w:t>שמואל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ב</w:t>
      </w:r>
      <w:r w:rsidRPr="00E17C5D">
        <w:rPr>
          <w:b/>
          <w:bCs/>
          <w:rtl/>
        </w:rPr>
        <w:t>':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ה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ד</w:t>
      </w:r>
      <w:r w:rsidRPr="00E17C5D">
        <w:rPr>
          <w:rtl/>
        </w:rPr>
        <w:t xml:space="preserve"> 21 – 33, </w:t>
      </w:r>
      <w:r w:rsidRPr="00E17C5D">
        <w:rPr>
          <w:rFonts w:hint="eastAsia"/>
          <w:rtl/>
        </w:rPr>
        <w:t>ט</w:t>
      </w:r>
      <w:r w:rsidRPr="00E17C5D">
        <w:rPr>
          <w:rtl/>
        </w:rPr>
        <w:t>"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ט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ח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ט</w:t>
      </w:r>
      <w:r w:rsidRPr="00E17C5D">
        <w:rPr>
          <w:rtl/>
        </w:rPr>
        <w:t xml:space="preserve">, </w:t>
      </w:r>
    </w:p>
    <w:p w:rsidR="00F05DCB" w:rsidRPr="00E17C5D" w:rsidRDefault="00F05DCB" w:rsidP="00F05DCB">
      <w:pPr>
        <w:spacing w:line="360" w:lineRule="auto"/>
        <w:ind w:left="-58"/>
        <w:rPr>
          <w:rtl/>
        </w:rPr>
      </w:pPr>
      <w:r w:rsidRPr="00E17C5D">
        <w:rPr>
          <w:rFonts w:hint="eastAsia"/>
          <w:b/>
          <w:bCs/>
          <w:rtl/>
        </w:rPr>
        <w:t>מלכים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א</w:t>
      </w:r>
      <w:r w:rsidRPr="00E17C5D">
        <w:rPr>
          <w:b/>
          <w:bCs/>
          <w:rtl/>
        </w:rPr>
        <w:t xml:space="preserve">': 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ח</w:t>
      </w:r>
      <w:r w:rsidRPr="00E17C5D">
        <w:rPr>
          <w:rtl/>
        </w:rPr>
        <w:t>' 1 – 32</w:t>
      </w:r>
      <w:r>
        <w:rPr>
          <w:rFonts w:hint="cs"/>
          <w:rtl/>
        </w:rPr>
        <w:t>.</w:t>
      </w:r>
    </w:p>
    <w:p w:rsidR="00F05DCB" w:rsidRPr="00E17C5D" w:rsidRDefault="00F05DCB" w:rsidP="00F05DCB">
      <w:pPr>
        <w:spacing w:line="360" w:lineRule="auto"/>
        <w:ind w:left="-58"/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תהילים</w:t>
      </w:r>
      <w:r w:rsidRPr="00E17C5D">
        <w:rPr>
          <w:b/>
          <w:bCs/>
          <w:rtl/>
        </w:rPr>
        <w:t>:</w:t>
      </w:r>
      <w:r w:rsidRPr="00E17C5D">
        <w:rPr>
          <w:rtl/>
        </w:rPr>
        <w:t xml:space="preserve"> 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rtl/>
        </w:rPr>
        <w:t>נ</w:t>
      </w:r>
      <w:r w:rsidRPr="00E17C5D">
        <w:rPr>
          <w:rtl/>
        </w:rPr>
        <w:t>"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 (</w:t>
      </w:r>
      <w:r w:rsidRPr="00E17C5D">
        <w:rPr>
          <w:rFonts w:hint="eastAsia"/>
          <w:rtl/>
        </w:rPr>
        <w:t>ללמד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בהקשר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לתוכחת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נתן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בשמ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) </w:t>
      </w:r>
      <w:r w:rsidRPr="00E17C5D">
        <w:rPr>
          <w:rFonts w:hint="eastAsia"/>
          <w:rtl/>
        </w:rPr>
        <w:t>או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כל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פרק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תהילים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אחר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לבחירת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המורה</w:t>
      </w:r>
      <w:r>
        <w:rPr>
          <w:rFonts w:hint="cs"/>
          <w:b/>
          <w:bCs/>
          <w:rtl/>
        </w:rPr>
        <w:t>.</w:t>
      </w:r>
    </w:p>
    <w:p w:rsidR="00F05DCB" w:rsidRDefault="00F05DCB" w:rsidP="00F05DCB">
      <w:pPr>
        <w:tabs>
          <w:tab w:val="left" w:pos="826"/>
        </w:tabs>
        <w:spacing w:line="360" w:lineRule="auto"/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מיומנויות</w:t>
      </w:r>
      <w:r w:rsidRPr="00E17C5D">
        <w:rPr>
          <w:b/>
          <w:bCs/>
          <w:rtl/>
        </w:rPr>
        <w:t xml:space="preserve"> </w:t>
      </w:r>
      <w:r w:rsidRPr="00690072">
        <w:rPr>
          <w:rFonts w:hint="eastAsia"/>
          <w:b/>
          <w:bCs/>
          <w:rtl/>
        </w:rPr>
        <w:t>לימוד</w:t>
      </w:r>
      <w:r w:rsidRPr="00E17C5D">
        <w:rPr>
          <w:b/>
          <w:bCs/>
          <w:rtl/>
        </w:rPr>
        <w:t xml:space="preserve">: </w:t>
      </w:r>
      <w:r w:rsidRPr="00E17C5D">
        <w:rPr>
          <w:rFonts w:hint="eastAsia"/>
          <w:b/>
          <w:bCs/>
          <w:rtl/>
        </w:rPr>
        <w:t>כל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מה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שנלמד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בשנים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קודמות</w:t>
      </w:r>
      <w:r w:rsidRPr="00E17C5D">
        <w:rPr>
          <w:b/>
          <w:bCs/>
          <w:rtl/>
        </w:rPr>
        <w:t>:</w:t>
      </w:r>
      <w:r>
        <w:rPr>
          <w:rFonts w:hint="cs"/>
          <w:b/>
          <w:bCs/>
          <w:rtl/>
        </w:rPr>
        <w:t>{</w:t>
      </w:r>
      <w:r>
        <w:rPr>
          <w:rFonts w:hint="eastAsia"/>
          <w:rtl/>
        </w:rPr>
        <w:t>ידיעת</w:t>
      </w:r>
      <w:r>
        <w:rPr>
          <w:rtl/>
        </w:rPr>
        <w:t xml:space="preserve"> </w:t>
      </w:r>
      <w:r>
        <w:rPr>
          <w:rFonts w:hint="eastAsia"/>
          <w:rtl/>
        </w:rPr>
        <w:t>סימני</w:t>
      </w:r>
      <w:r>
        <w:rPr>
          <w:rtl/>
        </w:rPr>
        <w:t xml:space="preserve"> </w:t>
      </w:r>
      <w:r>
        <w:rPr>
          <w:rFonts w:hint="eastAsia"/>
          <w:rtl/>
        </w:rPr>
        <w:t>ה</w:t>
      </w:r>
      <w:r w:rsidRPr="00E17C5D">
        <w:rPr>
          <w:rFonts w:hint="eastAsia"/>
          <w:rtl/>
        </w:rPr>
        <w:t>ניקוד</w:t>
      </w:r>
      <w:r>
        <w:rPr>
          <w:rtl/>
        </w:rPr>
        <w:t xml:space="preserve">  </w:t>
      </w:r>
      <w:r>
        <w:rPr>
          <w:rFonts w:hint="eastAsia"/>
          <w:rtl/>
        </w:rPr>
        <w:t>ושימוש</w:t>
      </w:r>
      <w:r>
        <w:rPr>
          <w:rtl/>
        </w:rPr>
        <w:t xml:space="preserve"> </w:t>
      </w:r>
      <w:r>
        <w:rPr>
          <w:rFonts w:hint="eastAsia"/>
          <w:rtl/>
        </w:rPr>
        <w:t>בהם</w:t>
      </w:r>
      <w:r>
        <w:rPr>
          <w:rtl/>
        </w:rPr>
        <w:t xml:space="preserve"> </w:t>
      </w:r>
      <w:r>
        <w:rPr>
          <w:rFonts w:hint="eastAsia"/>
          <w:rtl/>
        </w:rPr>
        <w:t>לקריאה</w:t>
      </w:r>
      <w:r>
        <w:rPr>
          <w:rtl/>
        </w:rPr>
        <w:t xml:space="preserve"> </w:t>
      </w:r>
      <w:r>
        <w:rPr>
          <w:rFonts w:hint="eastAsia"/>
          <w:rtl/>
        </w:rPr>
        <w:t>רהוטה</w:t>
      </w:r>
      <w:r>
        <w:rPr>
          <w:rFonts w:hint="cs"/>
          <w:rtl/>
        </w:rPr>
        <w:t xml:space="preserve">, </w:t>
      </w:r>
      <w:r w:rsidRPr="000B2081">
        <w:rPr>
          <w:rFonts w:hint="eastAsia"/>
          <w:rtl/>
        </w:rPr>
        <w:t>הכרת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טעמי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מקרא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בסיסיים</w:t>
      </w:r>
      <w:r w:rsidRPr="00E17C5D">
        <w:rPr>
          <w:rtl/>
        </w:rPr>
        <w:t xml:space="preserve"> (</w:t>
      </w:r>
      <w:r w:rsidRPr="00E17C5D">
        <w:rPr>
          <w:rFonts w:hint="eastAsia"/>
          <w:rtl/>
        </w:rPr>
        <w:t>זקף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אתנחתא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וסוף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פסוק</w:t>
      </w:r>
      <w:r w:rsidRPr="00E17C5D">
        <w:rPr>
          <w:rtl/>
        </w:rPr>
        <w:t>)</w:t>
      </w:r>
      <w:r>
        <w:rPr>
          <w:rtl/>
        </w:rPr>
        <w:t xml:space="preserve"> </w:t>
      </w:r>
      <w:r>
        <w:rPr>
          <w:rFonts w:hint="eastAsia"/>
          <w:rtl/>
        </w:rPr>
        <w:t>ושימוש</w:t>
      </w:r>
      <w:r>
        <w:rPr>
          <w:rtl/>
        </w:rPr>
        <w:t xml:space="preserve"> </w:t>
      </w:r>
      <w:r>
        <w:rPr>
          <w:rFonts w:hint="eastAsia"/>
          <w:rtl/>
        </w:rPr>
        <w:t>בהם</w:t>
      </w:r>
      <w:r>
        <w:rPr>
          <w:rtl/>
        </w:rPr>
        <w:t xml:space="preserve"> </w:t>
      </w:r>
      <w:r>
        <w:rPr>
          <w:rFonts w:hint="eastAsia"/>
          <w:rtl/>
        </w:rPr>
        <w:t>לקריאה</w:t>
      </w:r>
      <w:r>
        <w:rPr>
          <w:rtl/>
        </w:rPr>
        <w:t xml:space="preserve"> </w:t>
      </w:r>
      <w:r>
        <w:rPr>
          <w:rFonts w:hint="eastAsia"/>
          <w:rtl/>
        </w:rPr>
        <w:t>רהוטה</w:t>
      </w:r>
      <w:r>
        <w:rPr>
          <w:rFonts w:hint="cs"/>
          <w:rtl/>
        </w:rPr>
        <w:t xml:space="preserve">, </w:t>
      </w:r>
      <w:r>
        <w:rPr>
          <w:rFonts w:hint="eastAsia"/>
          <w:rtl/>
        </w:rPr>
        <w:t>י</w:t>
      </w:r>
      <w:r w:rsidRPr="000B2081">
        <w:rPr>
          <w:rFonts w:hint="eastAsia"/>
          <w:rtl/>
        </w:rPr>
        <w:t>דיעת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גימטרייה</w:t>
      </w:r>
      <w:r>
        <w:rPr>
          <w:rFonts w:hint="cs"/>
          <w:rtl/>
        </w:rPr>
        <w:t>,</w:t>
      </w:r>
      <w:r w:rsidRPr="000B2081">
        <w:rPr>
          <w:rFonts w:hint="eastAsia"/>
          <w:rtl/>
        </w:rPr>
        <w:t>הכרת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סדר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הספרים</w:t>
      </w:r>
      <w:r>
        <w:rPr>
          <w:rFonts w:hint="cs"/>
          <w:rtl/>
        </w:rPr>
        <w:t xml:space="preserve">, </w:t>
      </w:r>
      <w:r w:rsidRPr="000B2081">
        <w:rPr>
          <w:rFonts w:hint="eastAsia"/>
          <w:rtl/>
        </w:rPr>
        <w:t>הבנת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ו</w:t>
      </w:r>
      <w:r w:rsidRPr="00E17C5D">
        <w:rPr>
          <w:rtl/>
        </w:rPr>
        <w:t>"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  </w:t>
      </w:r>
      <w:r w:rsidRPr="00E17C5D">
        <w:rPr>
          <w:rFonts w:hint="eastAsia"/>
          <w:rtl/>
        </w:rPr>
        <w:t>ההיפוך</w:t>
      </w:r>
      <w:r>
        <w:rPr>
          <w:rFonts w:hint="cs"/>
          <w:rtl/>
        </w:rPr>
        <w:t xml:space="preserve">, </w:t>
      </w:r>
      <w:r w:rsidRPr="000B2081">
        <w:rPr>
          <w:rFonts w:hint="eastAsia"/>
          <w:rtl/>
        </w:rPr>
        <w:t>הבנת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ה</w:t>
      </w:r>
      <w:r w:rsidRPr="00E17C5D">
        <w:rPr>
          <w:rtl/>
        </w:rPr>
        <w:t xml:space="preserve">' </w:t>
      </w:r>
      <w:r w:rsidRPr="00E17C5D">
        <w:rPr>
          <w:rFonts w:hint="eastAsia"/>
          <w:rtl/>
        </w:rPr>
        <w:t>הכיוון</w:t>
      </w:r>
      <w:r>
        <w:rPr>
          <w:rFonts w:hint="cs"/>
          <w:rtl/>
        </w:rPr>
        <w:t xml:space="preserve">, </w:t>
      </w:r>
      <w:r>
        <w:rPr>
          <w:rFonts w:hint="eastAsia"/>
          <w:rtl/>
        </w:rPr>
        <w:t>הבנת</w:t>
      </w:r>
      <w:r>
        <w:rPr>
          <w:rtl/>
        </w:rPr>
        <w:t xml:space="preserve"> </w:t>
      </w:r>
      <w:r>
        <w:rPr>
          <w:rFonts w:hint="eastAsia"/>
          <w:rtl/>
        </w:rPr>
        <w:t>הכינויים</w:t>
      </w:r>
      <w:r>
        <w:rPr>
          <w:rtl/>
        </w:rPr>
        <w:t xml:space="preserve"> </w:t>
      </w:r>
      <w:r>
        <w:rPr>
          <w:rFonts w:hint="eastAsia"/>
          <w:rtl/>
        </w:rPr>
        <w:t>החבורים</w:t>
      </w:r>
      <w:r>
        <w:rPr>
          <w:rFonts w:hint="cs"/>
          <w:rtl/>
        </w:rPr>
        <w:t xml:space="preserve">, </w:t>
      </w:r>
      <w:r>
        <w:rPr>
          <w:rFonts w:hint="eastAsia"/>
          <w:rtl/>
        </w:rPr>
        <w:t>טיפוח</w:t>
      </w:r>
      <w:r>
        <w:rPr>
          <w:rtl/>
        </w:rPr>
        <w:t xml:space="preserve"> </w:t>
      </w:r>
      <w:r w:rsidRPr="000B2081">
        <w:rPr>
          <w:rFonts w:hint="eastAsia"/>
          <w:rtl/>
        </w:rPr>
        <w:t>יכולת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השוואה</w:t>
      </w:r>
      <w:r>
        <w:rPr>
          <w:rFonts w:hint="cs"/>
          <w:rtl/>
        </w:rPr>
        <w:t xml:space="preserve">, </w:t>
      </w:r>
      <w:r>
        <w:rPr>
          <w:rFonts w:hint="eastAsia"/>
          <w:rtl/>
        </w:rPr>
        <w:t>טיפוח</w:t>
      </w:r>
      <w:r>
        <w:rPr>
          <w:rtl/>
        </w:rPr>
        <w:t xml:space="preserve"> </w:t>
      </w:r>
      <w:r>
        <w:rPr>
          <w:rFonts w:hint="eastAsia"/>
          <w:rtl/>
        </w:rPr>
        <w:t>י</w:t>
      </w:r>
      <w:r w:rsidRPr="000B2081">
        <w:rPr>
          <w:rFonts w:hint="eastAsia"/>
          <w:rtl/>
        </w:rPr>
        <w:t>כולת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קריאת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מפה</w:t>
      </w:r>
      <w:r>
        <w:rPr>
          <w:rFonts w:hint="cs"/>
          <w:rtl/>
        </w:rPr>
        <w:t>,</w:t>
      </w:r>
      <w:r>
        <w:rPr>
          <w:rFonts w:hint="eastAsia"/>
          <w:rtl/>
        </w:rPr>
        <w:t>הכרת</w:t>
      </w:r>
      <w:r>
        <w:rPr>
          <w:rtl/>
        </w:rPr>
        <w:t xml:space="preserve"> </w:t>
      </w:r>
      <w:r>
        <w:rPr>
          <w:rFonts w:hint="eastAsia"/>
          <w:rtl/>
        </w:rPr>
        <w:t>ה</w:t>
      </w:r>
      <w:r w:rsidRPr="00E17C5D">
        <w:rPr>
          <w:rFonts w:hint="eastAsia"/>
          <w:rtl/>
        </w:rPr>
        <w:t>קונקורדנציה</w:t>
      </w:r>
      <w:r>
        <w:rPr>
          <w:rtl/>
        </w:rPr>
        <w:t xml:space="preserve"> </w:t>
      </w:r>
      <w:r>
        <w:rPr>
          <w:rFonts w:hint="eastAsia"/>
          <w:rtl/>
        </w:rPr>
        <w:t>ואופן</w:t>
      </w:r>
      <w:r>
        <w:rPr>
          <w:rtl/>
        </w:rPr>
        <w:t xml:space="preserve"> </w:t>
      </w:r>
      <w:r>
        <w:rPr>
          <w:rFonts w:hint="eastAsia"/>
          <w:rtl/>
        </w:rPr>
        <w:t>השימוש</w:t>
      </w:r>
      <w:r>
        <w:rPr>
          <w:rtl/>
        </w:rPr>
        <w:t xml:space="preserve"> </w:t>
      </w:r>
      <w:r>
        <w:rPr>
          <w:rFonts w:hint="eastAsia"/>
          <w:rtl/>
        </w:rPr>
        <w:t>בה</w:t>
      </w:r>
      <w:r>
        <w:rPr>
          <w:rtl/>
        </w:rPr>
        <w:t xml:space="preserve"> </w:t>
      </w:r>
      <w:r>
        <w:rPr>
          <w:rFonts w:hint="eastAsia"/>
          <w:rtl/>
        </w:rPr>
        <w:t>ככלי</w:t>
      </w:r>
      <w:r>
        <w:rPr>
          <w:rtl/>
        </w:rPr>
        <w:t xml:space="preserve"> </w:t>
      </w:r>
      <w:r>
        <w:rPr>
          <w:rFonts w:hint="eastAsia"/>
          <w:rtl/>
        </w:rPr>
        <w:t>פרשני</w:t>
      </w:r>
      <w:r>
        <w:rPr>
          <w:rtl/>
        </w:rPr>
        <w:t xml:space="preserve"> </w:t>
      </w:r>
      <w:r>
        <w:rPr>
          <w:rFonts w:hint="eastAsia"/>
          <w:rtl/>
        </w:rPr>
        <w:t>ומסייע</w:t>
      </w:r>
      <w:r>
        <w:rPr>
          <w:rtl/>
        </w:rPr>
        <w:t xml:space="preserve">;                              </w:t>
      </w:r>
      <w:r>
        <w:rPr>
          <w:rFonts w:hint="eastAsia"/>
          <w:rtl/>
        </w:rPr>
        <w:t>הכרת</w:t>
      </w:r>
      <w:r>
        <w:rPr>
          <w:rtl/>
        </w:rPr>
        <w:t xml:space="preserve"> </w:t>
      </w:r>
      <w:r>
        <w:rPr>
          <w:rFonts w:hint="eastAsia"/>
          <w:rtl/>
        </w:rPr>
        <w:t>האמצעי</w:t>
      </w:r>
      <w:r>
        <w:rPr>
          <w:rtl/>
        </w:rPr>
        <w:t xml:space="preserve"> </w:t>
      </w:r>
      <w:r>
        <w:rPr>
          <w:rFonts w:hint="eastAsia"/>
          <w:rtl/>
        </w:rPr>
        <w:t>הספרותי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 w:rsidRPr="00E17C5D">
        <w:rPr>
          <w:rFonts w:hint="eastAsia"/>
          <w:rtl/>
        </w:rPr>
        <w:t>מילה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מנחה</w:t>
      </w:r>
      <w:r>
        <w:rPr>
          <w:rtl/>
        </w:rPr>
        <w:t>;</w:t>
      </w:r>
      <w:r>
        <w:rPr>
          <w:rFonts w:hint="cs"/>
          <w:b/>
          <w:bCs/>
          <w:rtl/>
        </w:rPr>
        <w:t xml:space="preserve"> </w:t>
      </w:r>
      <w:r w:rsidRPr="00E17C5D">
        <w:rPr>
          <w:rFonts w:hint="eastAsia"/>
          <w:rtl/>
        </w:rPr>
        <w:t>ה</w:t>
      </w:r>
      <w:r>
        <w:rPr>
          <w:rFonts w:hint="eastAsia"/>
          <w:rtl/>
        </w:rPr>
        <w:t>כרת</w:t>
      </w:r>
      <w:r>
        <w:rPr>
          <w:rtl/>
        </w:rPr>
        <w:t xml:space="preserve"> </w:t>
      </w:r>
      <w:r>
        <w:rPr>
          <w:rFonts w:hint="eastAsia"/>
          <w:rtl/>
        </w:rPr>
        <w:t>חספוסים</w:t>
      </w:r>
      <w:r>
        <w:rPr>
          <w:rtl/>
        </w:rPr>
        <w:t xml:space="preserve"> </w:t>
      </w:r>
      <w:r>
        <w:rPr>
          <w:rFonts w:hint="eastAsia"/>
          <w:rtl/>
        </w:rPr>
        <w:t>בכתוב</w:t>
      </w:r>
      <w:r>
        <w:rPr>
          <w:rtl/>
        </w:rPr>
        <w:t xml:space="preserve"> </w:t>
      </w:r>
      <w:r>
        <w:rPr>
          <w:rFonts w:hint="eastAsia"/>
          <w:rtl/>
        </w:rPr>
        <w:t>ודרכי</w:t>
      </w:r>
      <w:r>
        <w:rPr>
          <w:rtl/>
        </w:rPr>
        <w:t xml:space="preserve"> </w:t>
      </w:r>
      <w:r>
        <w:rPr>
          <w:rFonts w:hint="eastAsia"/>
          <w:rtl/>
        </w:rPr>
        <w:t>יישובם</w:t>
      </w:r>
      <w:r>
        <w:rPr>
          <w:rtl/>
        </w:rPr>
        <w:t>;</w:t>
      </w:r>
      <w:r>
        <w:rPr>
          <w:rFonts w:hint="eastAsia"/>
          <w:rtl/>
        </w:rPr>
        <w:t>הכרת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תרגום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השבעים</w:t>
      </w:r>
      <w:r>
        <w:rPr>
          <w:rtl/>
        </w:rPr>
        <w:t xml:space="preserve">, </w:t>
      </w:r>
      <w:r>
        <w:rPr>
          <w:rFonts w:hint="eastAsia"/>
          <w:rtl/>
        </w:rPr>
        <w:t>קומראן</w:t>
      </w:r>
      <w:r>
        <w:rPr>
          <w:rtl/>
        </w:rPr>
        <w:t>;</w:t>
      </w:r>
      <w:r>
        <w:rPr>
          <w:rFonts w:hint="cs"/>
          <w:b/>
          <w:bCs/>
          <w:rtl/>
        </w:rPr>
        <w:t xml:space="preserve"> </w:t>
      </w:r>
      <w:r w:rsidRPr="00E17C5D">
        <w:rPr>
          <w:rFonts w:hint="eastAsia"/>
          <w:rtl/>
        </w:rPr>
        <w:t>זיהוי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והכרת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נוסחה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חוזרת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בכתוב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ומגמתה</w:t>
      </w:r>
      <w:r>
        <w:rPr>
          <w:rtl/>
        </w:rPr>
        <w:t>;</w:t>
      </w:r>
      <w:r w:rsidRPr="00E17C5D">
        <w:rPr>
          <w:rFonts w:hint="eastAsia"/>
          <w:rtl/>
        </w:rPr>
        <w:t>הכרת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עמדות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שונות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במקרא</w:t>
      </w:r>
      <w:r w:rsidRPr="00F05DCB">
        <w:rPr>
          <w:rFonts w:hint="cs"/>
          <w:b/>
          <w:bCs/>
          <w:rtl/>
        </w:rPr>
        <w:t>}.</w:t>
      </w:r>
    </w:p>
    <w:p w:rsidR="00F05DCB" w:rsidRPr="00F05DCB" w:rsidRDefault="00F05DCB" w:rsidP="00F05DCB">
      <w:pPr>
        <w:tabs>
          <w:tab w:val="left" w:pos="826"/>
        </w:tabs>
        <w:spacing w:line="360" w:lineRule="auto"/>
        <w:rPr>
          <w:b/>
          <w:bCs/>
          <w:rtl/>
        </w:rPr>
      </w:pPr>
      <w:r>
        <w:rPr>
          <w:rFonts w:hint="eastAsia"/>
          <w:rtl/>
        </w:rPr>
        <w:t>פיתוח</w:t>
      </w:r>
      <w:r>
        <w:rPr>
          <w:rtl/>
        </w:rPr>
        <w:t xml:space="preserve"> </w:t>
      </w:r>
      <w:r>
        <w:rPr>
          <w:rFonts w:hint="eastAsia"/>
          <w:rtl/>
        </w:rPr>
        <w:t>היכולת</w:t>
      </w:r>
      <w:r>
        <w:rPr>
          <w:rtl/>
        </w:rPr>
        <w:t xml:space="preserve"> </w:t>
      </w:r>
      <w:r>
        <w:rPr>
          <w:rFonts w:hint="eastAsia"/>
          <w:rtl/>
        </w:rPr>
        <w:t>לערוך</w:t>
      </w:r>
      <w:r>
        <w:rPr>
          <w:rtl/>
        </w:rPr>
        <w:t xml:space="preserve"> </w:t>
      </w:r>
      <w:r w:rsidRPr="00E17C5D">
        <w:rPr>
          <w:rFonts w:hint="eastAsia"/>
          <w:rtl/>
        </w:rPr>
        <w:t>סיכום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שיעור</w:t>
      </w:r>
      <w:r>
        <w:rPr>
          <w:rFonts w:hint="cs"/>
          <w:rtl/>
        </w:rPr>
        <w:t>.</w:t>
      </w:r>
      <w:r>
        <w:rPr>
          <w:rtl/>
        </w:rPr>
        <w:t xml:space="preserve">                </w:t>
      </w:r>
    </w:p>
    <w:p w:rsidR="00F05DCB" w:rsidRPr="00E17C5D" w:rsidRDefault="00F05DCB" w:rsidP="00F05DCB">
      <w:pPr>
        <w:tabs>
          <w:tab w:val="left" w:pos="826"/>
        </w:tabs>
        <w:spacing w:line="360" w:lineRule="auto"/>
        <w:rPr>
          <w:rtl/>
        </w:rPr>
      </w:pPr>
      <w:r>
        <w:rPr>
          <w:rFonts w:hint="eastAsia"/>
          <w:rtl/>
        </w:rPr>
        <w:t>לדעת</w:t>
      </w:r>
      <w:r>
        <w:rPr>
          <w:rtl/>
        </w:rPr>
        <w:t xml:space="preserve"> </w:t>
      </w:r>
      <w:r>
        <w:rPr>
          <w:rFonts w:hint="eastAsia"/>
          <w:rtl/>
        </w:rPr>
        <w:t>לערוך</w:t>
      </w:r>
      <w:r>
        <w:rPr>
          <w:rtl/>
        </w:rPr>
        <w:t xml:space="preserve"> </w:t>
      </w:r>
      <w:r w:rsidRPr="00E17C5D">
        <w:rPr>
          <w:rFonts w:hint="eastAsia"/>
          <w:rtl/>
        </w:rPr>
        <w:t>סיכום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מאמר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קצר</w:t>
      </w:r>
      <w:r>
        <w:rPr>
          <w:rFonts w:hint="cs"/>
          <w:rtl/>
        </w:rPr>
        <w:t>.</w:t>
      </w:r>
    </w:p>
    <w:p w:rsidR="00F05DCB" w:rsidRDefault="00F05DCB" w:rsidP="00F05DCB">
      <w:pPr>
        <w:tabs>
          <w:tab w:val="left" w:pos="826"/>
        </w:tabs>
        <w:spacing w:line="360" w:lineRule="auto"/>
        <w:rPr>
          <w:rtl/>
        </w:rPr>
      </w:pPr>
      <w:r>
        <w:rPr>
          <w:rFonts w:hint="eastAsia"/>
          <w:rtl/>
        </w:rPr>
        <w:t>לדעת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כתיבת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ט</w:t>
      </w:r>
      <w:r>
        <w:rPr>
          <w:rFonts w:hint="eastAsia"/>
          <w:rtl/>
        </w:rPr>
        <w:t>ע</w:t>
      </w:r>
      <w:r>
        <w:rPr>
          <w:rFonts w:hint="cs"/>
          <w:rtl/>
        </w:rPr>
        <w:t>ון.</w:t>
      </w:r>
    </w:p>
    <w:p w:rsidR="00F05DCB" w:rsidRPr="00F05DCB" w:rsidRDefault="00F05DCB" w:rsidP="00F05DCB">
      <w:pPr>
        <w:tabs>
          <w:tab w:val="left" w:pos="826"/>
        </w:tabs>
        <w:spacing w:line="360" w:lineRule="auto"/>
        <w:rPr>
          <w:rtl/>
        </w:rPr>
      </w:pPr>
      <w:r w:rsidRPr="00E17C5D">
        <w:rPr>
          <w:rFonts w:ascii="Arial" w:hAnsi="Arial"/>
          <w:b/>
          <w:bCs/>
          <w:sz w:val="27"/>
          <w:szCs w:val="27"/>
          <w:rtl/>
        </w:rPr>
        <w:t>מטרות</w:t>
      </w:r>
      <w:r w:rsidRPr="00E17C5D">
        <w:rPr>
          <w:rtl/>
        </w:rPr>
        <w:t> </w:t>
      </w:r>
    </w:p>
    <w:p w:rsidR="00F05DCB" w:rsidRPr="00F05DCB" w:rsidRDefault="00F05DCB" w:rsidP="00F05DCB">
      <w:pPr>
        <w:spacing w:line="360" w:lineRule="auto"/>
        <w:rPr>
          <w:u w:val="single"/>
          <w:rtl/>
        </w:rPr>
      </w:pPr>
      <w:r w:rsidRPr="00F05DCB">
        <w:rPr>
          <w:u w:val="single"/>
          <w:rtl/>
        </w:rPr>
        <w:t xml:space="preserve">לכתובים הנלמדים בשמואל ב' </w:t>
      </w:r>
    </w:p>
    <w:p w:rsidR="00F05DCB" w:rsidRPr="00E17C5D" w:rsidRDefault="00F05DCB" w:rsidP="00F05DCB">
      <w:pPr>
        <w:spacing w:line="360" w:lineRule="auto"/>
        <w:rPr>
          <w:rtl/>
        </w:rPr>
      </w:pPr>
      <w:r w:rsidRPr="00E17C5D">
        <w:rPr>
          <w:b/>
          <w:bCs/>
          <w:rtl/>
        </w:rPr>
        <w:t>הלומדים:</w:t>
      </w:r>
    </w:p>
    <w:p w:rsidR="00F05DCB" w:rsidRDefault="00F05DCB" w:rsidP="00F05DC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</w:rPr>
      </w:pPr>
      <w:r w:rsidRPr="00A3363C">
        <w:rPr>
          <w:rFonts w:ascii="Arial" w:hAnsi="Arial"/>
          <w:b/>
          <w:bCs/>
          <w:rtl/>
        </w:rPr>
        <w:t>ישוו</w:t>
      </w:r>
      <w:r>
        <w:rPr>
          <w:rFonts w:ascii="Arial" w:hAnsi="Arial"/>
          <w:rtl/>
        </w:rPr>
        <w:t xml:space="preserve"> בין דרכי המנהיגות השונים של שאול ודוד ואת הערכת המספר לכל אחד מהם.</w:t>
      </w:r>
    </w:p>
    <w:p w:rsidR="00F05DCB" w:rsidRPr="00E17C5D" w:rsidRDefault="00F05DCB" w:rsidP="00F05DC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יעריכו</w:t>
      </w:r>
      <w:r w:rsidRPr="00E17C5D">
        <w:rPr>
          <w:rFonts w:ascii="Arial" w:hAnsi="Arial"/>
          <w:rtl/>
        </w:rPr>
        <w:t xml:space="preserve"> את דמותו של דוד בהיבט האישי, המשפחתי והממלכתי (כוחו ועוצמתו כמקים ממלכה מול חולשותיו מבית).</w:t>
      </w:r>
    </w:p>
    <w:p w:rsidR="00F05DCB" w:rsidRPr="00E17C5D" w:rsidRDefault="00F05DCB" w:rsidP="00F05DC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ידונו</w:t>
      </w:r>
      <w:r w:rsidRPr="00E17C5D">
        <w:rPr>
          <w:rFonts w:ascii="Arial" w:hAnsi="Arial"/>
          <w:rtl/>
        </w:rPr>
        <w:t xml:space="preserve"> בהחלטתו של דוד בבחירה של ירושלים כעיר בירה</w:t>
      </w:r>
      <w:r>
        <w:rPr>
          <w:rFonts w:ascii="Arial" w:hAnsi="Arial"/>
          <w:rtl/>
        </w:rPr>
        <w:t>.</w:t>
      </w:r>
      <w:r w:rsidRPr="00E17C5D">
        <w:rPr>
          <w:rFonts w:ascii="Arial" w:hAnsi="Arial"/>
          <w:rtl/>
        </w:rPr>
        <w:t xml:space="preserve"> </w:t>
      </w:r>
    </w:p>
    <w:p w:rsidR="00F05DCB" w:rsidRPr="00E17C5D" w:rsidRDefault="00F05DCB" w:rsidP="00F05DCB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E17C5D">
        <w:rPr>
          <w:rFonts w:ascii="Arial" w:hAnsi="Arial"/>
          <w:b/>
          <w:bCs/>
          <w:rtl/>
        </w:rPr>
        <w:t xml:space="preserve">יכירו </w:t>
      </w:r>
      <w:r w:rsidRPr="00E17C5D">
        <w:rPr>
          <w:rFonts w:ascii="Arial" w:hAnsi="Arial"/>
          <w:rtl/>
        </w:rPr>
        <w:t xml:space="preserve">את דרכי העיצוב של הסיפור המקראי  ואת תרומתם לדיון על הערכת הדמויות ומשמעות הסיפור.                                                                                                  </w:t>
      </w:r>
    </w:p>
    <w:p w:rsidR="00F05DCB" w:rsidRPr="00F05DCB" w:rsidRDefault="00F05DCB" w:rsidP="00F05DCB">
      <w:pPr>
        <w:spacing w:line="360" w:lineRule="auto"/>
        <w:rPr>
          <w:u w:val="single"/>
          <w:rtl/>
        </w:rPr>
      </w:pPr>
      <w:r w:rsidRPr="00F05DCB">
        <w:rPr>
          <w:u w:val="single"/>
          <w:rtl/>
        </w:rPr>
        <w:t xml:space="preserve">לכתובים הנלמדים במלכים א' </w:t>
      </w:r>
    </w:p>
    <w:p w:rsidR="00F05DCB" w:rsidRPr="00E17C5D" w:rsidRDefault="00F05DCB" w:rsidP="00F05DCB">
      <w:pPr>
        <w:spacing w:line="360" w:lineRule="auto"/>
        <w:rPr>
          <w:rtl/>
        </w:rPr>
      </w:pPr>
      <w:r w:rsidRPr="00E17C5D">
        <w:rPr>
          <w:b/>
          <w:bCs/>
          <w:rtl/>
        </w:rPr>
        <w:t>הלומדים:</w:t>
      </w:r>
      <w:r w:rsidRPr="00E17C5D">
        <w:rPr>
          <w:rtl/>
        </w:rPr>
        <w:t xml:space="preserve"> </w:t>
      </w:r>
    </w:p>
    <w:p w:rsidR="00F05DCB" w:rsidRPr="00E17C5D" w:rsidRDefault="00F05DCB" w:rsidP="00F05DC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יבינו</w:t>
      </w:r>
      <w:r w:rsidRPr="00E17C5D">
        <w:rPr>
          <w:rFonts w:ascii="Arial" w:hAnsi="Arial"/>
          <w:rtl/>
        </w:rPr>
        <w:t xml:space="preserve"> את המאבק בהעברת המלוכה מדוד לשלמה </w:t>
      </w:r>
    </w:p>
    <w:p w:rsidR="00F05DCB" w:rsidRPr="00E17C5D" w:rsidRDefault="00F05DCB" w:rsidP="00F05DC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ידונו</w:t>
      </w:r>
      <w:r w:rsidRPr="00E17C5D">
        <w:rPr>
          <w:rFonts w:ascii="Arial" w:hAnsi="Arial"/>
          <w:rtl/>
        </w:rPr>
        <w:t xml:space="preserve"> בערכים העולים מתפילת שלמה בחנוכת המקדש</w:t>
      </w:r>
    </w:p>
    <w:p w:rsidR="00F05DCB" w:rsidRDefault="00F05DCB" w:rsidP="00F05DCB">
      <w:pPr>
        <w:spacing w:line="360" w:lineRule="auto"/>
        <w:ind w:left="360"/>
        <w:outlineLvl w:val="2"/>
        <w:rPr>
          <w:rFonts w:ascii="Arial" w:hAnsi="Arial"/>
          <w:b/>
          <w:bCs/>
          <w:sz w:val="27"/>
          <w:szCs w:val="27"/>
          <w:rtl/>
        </w:rPr>
      </w:pPr>
    </w:p>
    <w:p w:rsidR="00F05DCB" w:rsidRPr="00B47BDC" w:rsidRDefault="00F05DCB" w:rsidP="00F05DCB">
      <w:pPr>
        <w:spacing w:line="360" w:lineRule="auto"/>
        <w:ind w:left="-64"/>
        <w:outlineLvl w:val="2"/>
        <w:rPr>
          <w:rFonts w:ascii="Arial" w:hAnsi="Arial"/>
          <w:b/>
          <w:bCs/>
          <w:sz w:val="27"/>
          <w:szCs w:val="27"/>
          <w:rtl/>
        </w:rPr>
      </w:pPr>
      <w:r w:rsidRPr="00B47BDC">
        <w:rPr>
          <w:rFonts w:ascii="Arial" w:hAnsi="Arial"/>
          <w:b/>
          <w:bCs/>
          <w:sz w:val="27"/>
          <w:szCs w:val="27"/>
          <w:rtl/>
        </w:rPr>
        <w:t xml:space="preserve">הצעה לתכנון ההוראה כשיח בין הכתובים, צירים מארגנים ונושאי חתך:            </w:t>
      </w:r>
    </w:p>
    <w:p w:rsidR="00F05DCB" w:rsidRDefault="00F05DCB" w:rsidP="00F05DCB">
      <w:pPr>
        <w:spacing w:line="360" w:lineRule="auto"/>
        <w:jc w:val="both"/>
        <w:rPr>
          <w:rtl/>
        </w:rPr>
      </w:pPr>
      <w:r>
        <w:rPr>
          <w:rtl/>
        </w:rPr>
        <w:t xml:space="preserve">1. </w:t>
      </w:r>
      <w:r w:rsidRPr="00B6636F">
        <w:rPr>
          <w:rtl/>
        </w:rPr>
        <w:t>הכרת</w:t>
      </w:r>
      <w:r>
        <w:rPr>
          <w:rtl/>
        </w:rPr>
        <w:t xml:space="preserve"> העמדה לפיה תחושה של כוח בלתי מוגבל מעַוורת ואף עלולה להשחית. עמדה זו משתקפת בסיפורים על אבנר בן נר (שמ"ב ב' ג') ועל דוד (שמ"ב י"א).</w:t>
      </w:r>
    </w:p>
    <w:p w:rsidR="00F05DCB" w:rsidRDefault="00F05DCB" w:rsidP="00F05DCB">
      <w:pPr>
        <w:spacing w:line="360" w:lineRule="auto"/>
        <w:jc w:val="both"/>
        <w:rPr>
          <w:rtl/>
        </w:rPr>
      </w:pPr>
      <w:r>
        <w:rPr>
          <w:rtl/>
        </w:rPr>
        <w:t>2. ההבנה כי קורות דוד לאחר הסיפור בשמ"ב י"א הם תגובה ועונש לחטאו בפרשת בת שבע ואוריה החיתי.</w:t>
      </w:r>
    </w:p>
    <w:p w:rsidR="00F05DCB" w:rsidRPr="00F05DCB" w:rsidRDefault="00F05DCB" w:rsidP="00F05DCB">
      <w:pPr>
        <w:spacing w:line="360" w:lineRule="auto"/>
        <w:jc w:val="both"/>
        <w:rPr>
          <w:rtl/>
        </w:rPr>
      </w:pPr>
      <w:r>
        <w:rPr>
          <w:rtl/>
        </w:rPr>
        <w:t>3. הכרת התפיסה של סיבתיות כפולה לפיה ניתן מקום רב למעשיו ומניעיו של האדם גם כשהוא פועל בשירותה של תכנית אלוהית (כך אבשלום, חושי אחיתופל ועוד).</w:t>
      </w:r>
    </w:p>
    <w:p w:rsidR="00F05DCB" w:rsidRPr="00E17C5D" w:rsidRDefault="00F05DCB" w:rsidP="00F05DCB">
      <w:pPr>
        <w:rPr>
          <w:b/>
          <w:bCs/>
          <w:sz w:val="28"/>
          <w:szCs w:val="28"/>
          <w:u w:val="single"/>
          <w:rtl/>
        </w:rPr>
      </w:pPr>
      <w:r>
        <w:rPr>
          <w:b/>
          <w:bCs/>
          <w:sz w:val="28"/>
          <w:szCs w:val="28"/>
          <w:rtl/>
        </w:rPr>
        <w:t>ניבים ביטויים וקטעי פסוקים</w:t>
      </w:r>
      <w:r w:rsidRPr="00E17C5D">
        <w:rPr>
          <w:b/>
          <w:bCs/>
          <w:sz w:val="28"/>
          <w:szCs w:val="28"/>
          <w:rtl/>
        </w:rPr>
        <w:t xml:space="preserve"> לבקיאות</w:t>
      </w:r>
      <w:r>
        <w:rPr>
          <w:b/>
          <w:bCs/>
          <w:sz w:val="28"/>
          <w:szCs w:val="28"/>
          <w:u w:val="single"/>
          <w:rtl/>
        </w:rPr>
        <w:t xml:space="preserve">                      </w:t>
      </w:r>
    </w:p>
    <w:p w:rsidR="00F05DCB" w:rsidRPr="00E17C5D" w:rsidRDefault="00F05DCB" w:rsidP="00F05DC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Pr="00E17C5D">
        <w:rPr>
          <w:rFonts w:hint="eastAsia"/>
          <w:b/>
          <w:bCs/>
          <w:rtl/>
        </w:rPr>
        <w:t>שמואל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ב</w:t>
      </w:r>
      <w:r w:rsidRPr="00E17C5D">
        <w:rPr>
          <w:b/>
          <w:bCs/>
          <w:rtl/>
        </w:rPr>
        <w:t>'</w:t>
      </w:r>
    </w:p>
    <w:tbl>
      <w:tblPr>
        <w:tblW w:w="852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0"/>
        <w:gridCol w:w="5682"/>
      </w:tblGrid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כ"ה 6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כֹּה לֶחָי וְאַתָּה שָׁלוֹם וּבֵיתְךָ שָׁלוֹם 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כ"ה 21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וַיָּשֶׁב-לִי רָעָה תַּחַת טוֹבָה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כ"ה 25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כִּי כִשְׁמוֹ כֶּן-הוּא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כ"ה  29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וְהָיְתָה נֶפֶשׁ אֲדֹנִי צְרוּרָה בִּצְרוֹר הַחַיִּים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שמ"א כ"ה   31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וְלִשְׁפָּךְ-דָּם חִנָּם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ב' 6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חֶסֶד וֶאֱמֶת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ב' 14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יָקוּמוּ נָא הַנְּעָרִים וִישַׂחֲקוּ לְפָנֵינוּ 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ב' 18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קַל בְּרַגְלָיו כְּאַחַד הַצְּבָיִם אֲשֶׁר בַּשָּׂדֶה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ב' 26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הֲלָנֶצַח תֹּאכַל חֶרֶב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ג' 28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נָקִי אָנֹכִי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ג' 34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בְנֵי-עַוְלָה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ג' 38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שַׂר וְגָדוֹל נָפַל הַיּוֹם הַזֶּה בְּיִשְׂרָאֵל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שמ"ב ה' 1 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עַצְמְךָ וּבְשָׂרְךָ אֲנָחְנוּ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>שמ"ב ה' 2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אַתָּה הָיִיתָה מוציא (הַמּוֹצִיא) וְהַמֵּבִי 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ו' 17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דָּוִד מְפַזֵּז וּמְכַרְכֵּר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ז' 9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וְעָשִׂתִי לְךָ שֵׁם גָּדוֹל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ז' 10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בְנֵי-עַוְלָה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י"א 25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כִּי-כָזֹה וְכָזֶה תֹּאכַל הֶחָרֶב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י"ב 4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כִּבְשַׂת הָרָאשׁ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י"ב  8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כָּהֵנָּה וְכָהֵנָּה 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י"ב 7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אַתָּה הָאִישׁ 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י"ב 23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אֲנִי הֹלֵךְ אֵלָיו וְהוּא לֹא-יָשׁוּב אֵלָי 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י"ג  12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לֹא-יֵעָשֶׂה כֵן בְּיִשְׂרָאֵל 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י"ג 22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וְלֹא-דִבֶּר ... לְמֵרָע וְעַד-טוֹב  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י"ג 28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כְּטוֹב לֵב... בַּיַּיִן </w:t>
            </w:r>
          </w:p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חִזְקוּ וִהְיוּ לִבְנֵי-חָיִל 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שמ"ב ט"ו  30 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עֹלֶה וּבוֹכֶה וְרֹאשׁ לוֹ חָפוּי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ט"ו   31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עֲצַת אֲחִיתֹפֶל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ט"ו    33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וְהָיִתָ עָלַי לְמַשָּׂא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י"ח 5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לְאַט-לִי לַנַּעַר לְאַבְשָׁלוֹם 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י"ח 13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עָשִׂיתִי בנפשו (בְנַפְשִׁי) שֶׁקֶר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י"ח 20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אִישׁ בְּשֹׂרָה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שמ"ב י"ט 8 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דַבֵּר עַל-לֵב עֲבָדֶיךָ 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שמ"ב י"ט 14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עַצְמִי וּבְשָׂרִי אָתָּה</w:t>
            </w:r>
          </w:p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lastRenderedPageBreak/>
              <w:t>כֹּה יַעֲשֶׂה-לִּי אֱלֹהִים וְכֹה יוֹסִיף</w:t>
            </w:r>
          </w:p>
        </w:tc>
      </w:tr>
      <w:tr w:rsidR="00F05DCB" w:rsidRPr="00E17C5D" w:rsidTr="003A7B0F">
        <w:tblPrEx>
          <w:tblLook w:val="01E0" w:firstRow="1" w:lastRow="1" w:firstColumn="1" w:lastColumn="1" w:noHBand="0" w:noVBand="0"/>
        </w:tblPrEx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>שמ"ב י"ט 15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כְּאִישׁ אֶחָד</w:t>
            </w:r>
          </w:p>
        </w:tc>
      </w:tr>
    </w:tbl>
    <w:p w:rsidR="00F05DCB" w:rsidRPr="00E17C5D" w:rsidRDefault="00F05DCB" w:rsidP="00F05DCB">
      <w:pPr>
        <w:rPr>
          <w:rtl/>
        </w:rPr>
      </w:pPr>
    </w:p>
    <w:p w:rsidR="00F05DCB" w:rsidRPr="00E17C5D" w:rsidRDefault="00F05DCB" w:rsidP="00F05DC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ספר </w:t>
      </w:r>
      <w:r w:rsidRPr="00E17C5D">
        <w:rPr>
          <w:rFonts w:hint="eastAsia"/>
          <w:b/>
          <w:bCs/>
          <w:rtl/>
        </w:rPr>
        <w:t>מלכים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א</w:t>
      </w:r>
      <w:r w:rsidRPr="00E17C5D">
        <w:rPr>
          <w:b/>
          <w:bCs/>
          <w:rtl/>
        </w:rPr>
        <w:t>'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682"/>
      </w:tblGrid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א' 1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זָקֵן בָּא בַּיָּמִים 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א' 50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וַיַּחֲזֵק בְּקַרְנוֹת הַמִּזְבֵּחַ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א' 52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לֹא-יִפֹּל מִשַּׂעֲרָתוֹ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ב' 2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אָנֹכִי הֹלֵךְ בְּדֶרֶךְ כָּל-הָאָרֶץ 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ב'  7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תַּעֲשֶׂה-חֶסֶד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ב'  8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קְלָלָה נִמְרֶצֶת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ב'  10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וַיִּשְׁכַּב ..עִם-אֲבֹתָיו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ב'  20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אַל-תָּשֶׁב אֶת-פָּנָי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מל"א ב' 37 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דָּמְךָ יִהְיֶה בְרֹאשֶׁךָ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ב' 42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וְהָלַכְתָּ אָנֶה וָאָנָה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ג' 7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וְאָנֹכִי נַעַר קָטֹן לֹא אֵדַע צֵאת וָבֹא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מל"א ג' 8 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עַם-רָב אֲשֶׁר לֹא-יִמָּנֶה וְלֹא יִסָּפֵר מֵרֹב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ג' 9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לְהָבִין בֵּין-טוֹב לְרָע </w:t>
            </w:r>
          </w:p>
        </w:tc>
      </w:tr>
      <w:tr w:rsidR="00F05DCB" w:rsidRPr="00E17C5D" w:rsidTr="003A7B0F">
        <w:trPr>
          <w:jc w:val="right"/>
        </w:trPr>
        <w:tc>
          <w:tcPr>
            <w:tcW w:w="2840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מל"א ג' 26</w:t>
            </w:r>
          </w:p>
        </w:tc>
        <w:tc>
          <w:tcPr>
            <w:tcW w:w="5682" w:type="dxa"/>
          </w:tcPr>
          <w:p w:rsidR="00F05DCB" w:rsidRPr="00CD06CE" w:rsidRDefault="00F05DCB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נִכְמְרוּ רַחֲמֶיהָ </w:t>
            </w:r>
          </w:p>
        </w:tc>
      </w:tr>
    </w:tbl>
    <w:p w:rsidR="00F05DCB" w:rsidRPr="00E17C5D" w:rsidRDefault="00F05DCB" w:rsidP="00F05DCB">
      <w:pPr>
        <w:rPr>
          <w:b/>
          <w:bCs/>
          <w:u w:val="single"/>
          <w:rtl/>
        </w:rPr>
      </w:pPr>
    </w:p>
    <w:p w:rsidR="00F05DCB" w:rsidRPr="006A1E50" w:rsidRDefault="00F05DCB" w:rsidP="00F05DCB">
      <w:pPr>
        <w:spacing w:line="360" w:lineRule="auto"/>
        <w:rPr>
          <w:rtl/>
        </w:rPr>
      </w:pPr>
      <w:r w:rsidRPr="00E17C5D">
        <w:rPr>
          <w:rtl/>
        </w:rPr>
        <w:t xml:space="preserve"> </w:t>
      </w:r>
    </w:p>
    <w:p w:rsidR="00F05DCB" w:rsidRDefault="00F05DCB" w:rsidP="00F05DCB">
      <w:pPr>
        <w:jc w:val="center"/>
        <w:rPr>
          <w:b/>
          <w:bCs/>
          <w:sz w:val="24"/>
          <w:szCs w:val="24"/>
          <w:u w:val="single"/>
          <w:rtl/>
        </w:rPr>
      </w:pPr>
    </w:p>
    <w:p w:rsidR="00F05DCB" w:rsidRDefault="00F05DCB" w:rsidP="00F05DCB">
      <w:pPr>
        <w:rPr>
          <w:sz w:val="24"/>
          <w:szCs w:val="24"/>
          <w:rtl/>
        </w:rPr>
      </w:pPr>
    </w:p>
    <w:p w:rsidR="00752B8A" w:rsidRDefault="00752B8A" w:rsidP="00F05DCB">
      <w:pPr>
        <w:rPr>
          <w:sz w:val="24"/>
          <w:szCs w:val="24"/>
          <w:rtl/>
        </w:rPr>
      </w:pPr>
    </w:p>
    <w:p w:rsidR="00752B8A" w:rsidRDefault="00752B8A" w:rsidP="00752B8A">
      <w:pPr>
        <w:jc w:val="center"/>
        <w:rPr>
          <w:b/>
          <w:bCs/>
          <w:sz w:val="24"/>
          <w:szCs w:val="24"/>
          <w:u w:val="single"/>
          <w:rtl/>
        </w:rPr>
      </w:pPr>
      <w:r w:rsidRPr="00752B8A">
        <w:rPr>
          <w:rFonts w:hint="cs"/>
          <w:b/>
          <w:bCs/>
          <w:sz w:val="24"/>
          <w:szCs w:val="24"/>
          <w:u w:val="single"/>
          <w:rtl/>
        </w:rPr>
        <w:lastRenderedPageBreak/>
        <w:t>פרקי הלימוד בתנ"ך לכיתה ט':</w:t>
      </w:r>
    </w:p>
    <w:p w:rsidR="00752B8A" w:rsidRPr="00E17C5D" w:rsidRDefault="00752B8A" w:rsidP="00752B8A">
      <w:pPr>
        <w:spacing w:line="360" w:lineRule="auto"/>
        <w:ind w:left="-58"/>
        <w:rPr>
          <w:rtl/>
        </w:rPr>
      </w:pPr>
      <w:r w:rsidRPr="00752B8A">
        <w:rPr>
          <w:rFonts w:hint="cs"/>
          <w:b/>
          <w:bCs/>
          <w:sz w:val="24"/>
          <w:szCs w:val="24"/>
          <w:u w:val="single"/>
          <w:rtl/>
        </w:rPr>
        <w:t xml:space="preserve">ספר </w:t>
      </w:r>
      <w:r w:rsidRPr="00752B8A">
        <w:rPr>
          <w:rFonts w:hint="eastAsia"/>
          <w:b/>
          <w:bCs/>
          <w:sz w:val="24"/>
          <w:szCs w:val="24"/>
          <w:u w:val="single"/>
          <w:rtl/>
        </w:rPr>
        <w:t>שמואל</w:t>
      </w:r>
      <w:r w:rsidRPr="00752B8A">
        <w:rPr>
          <w:b/>
          <w:bCs/>
          <w:sz w:val="24"/>
          <w:szCs w:val="24"/>
          <w:u w:val="single"/>
          <w:rtl/>
        </w:rPr>
        <w:t xml:space="preserve"> </w:t>
      </w:r>
      <w:r w:rsidRPr="00752B8A">
        <w:rPr>
          <w:rFonts w:hint="eastAsia"/>
          <w:b/>
          <w:bCs/>
          <w:sz w:val="24"/>
          <w:szCs w:val="24"/>
          <w:u w:val="single"/>
          <w:rtl/>
        </w:rPr>
        <w:t>א</w:t>
      </w:r>
      <w:r w:rsidRPr="00752B8A">
        <w:rPr>
          <w:b/>
          <w:bCs/>
          <w:sz w:val="24"/>
          <w:szCs w:val="24"/>
          <w:u w:val="single"/>
          <w:rtl/>
        </w:rPr>
        <w:t>'</w:t>
      </w:r>
      <w:r w:rsidRPr="00752B8A">
        <w:rPr>
          <w:rFonts w:hint="cs"/>
          <w:b/>
          <w:bCs/>
          <w:sz w:val="24"/>
          <w:szCs w:val="24"/>
          <w:u w:val="single"/>
          <w:rtl/>
        </w:rPr>
        <w:t>, פרקים</w:t>
      </w:r>
      <w:r w:rsidRPr="00752B8A">
        <w:rPr>
          <w:b/>
          <w:bCs/>
          <w:sz w:val="24"/>
          <w:szCs w:val="24"/>
          <w:u w:val="single"/>
          <w:rtl/>
        </w:rPr>
        <w:t>: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ה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ח</w:t>
      </w:r>
      <w:r>
        <w:rPr>
          <w:rFonts w:hint="cs"/>
          <w:rtl/>
        </w:rPr>
        <w:t xml:space="preserve">, </w:t>
      </w:r>
      <w:r w:rsidRPr="00E17C5D">
        <w:rPr>
          <w:rFonts w:hint="eastAsia"/>
          <w:rtl/>
        </w:rPr>
        <w:t>ל</w:t>
      </w:r>
      <w:r>
        <w:rPr>
          <w:rFonts w:hint="cs"/>
          <w:rtl/>
        </w:rPr>
        <w:t>"</w:t>
      </w:r>
      <w:r w:rsidRPr="00E17C5D">
        <w:rPr>
          <w:rFonts w:hint="eastAsia"/>
          <w:rtl/>
        </w:rPr>
        <w:t>א</w:t>
      </w:r>
      <w:r>
        <w:rPr>
          <w:rFonts w:hint="cs"/>
          <w:rtl/>
        </w:rPr>
        <w:t>.</w:t>
      </w:r>
    </w:p>
    <w:p w:rsidR="00752B8A" w:rsidRPr="00E17C5D" w:rsidRDefault="00752B8A" w:rsidP="00752B8A">
      <w:pPr>
        <w:spacing w:line="360" w:lineRule="auto"/>
        <w:ind w:left="-58"/>
        <w:rPr>
          <w:rtl/>
        </w:rPr>
      </w:pPr>
      <w:r w:rsidRPr="00752B8A">
        <w:rPr>
          <w:rFonts w:hint="cs"/>
          <w:b/>
          <w:bCs/>
          <w:sz w:val="24"/>
          <w:szCs w:val="24"/>
          <w:u w:val="single"/>
          <w:rtl/>
        </w:rPr>
        <w:t xml:space="preserve">ספר </w:t>
      </w:r>
      <w:r w:rsidRPr="00752B8A">
        <w:rPr>
          <w:rFonts w:hint="eastAsia"/>
          <w:b/>
          <w:bCs/>
          <w:sz w:val="24"/>
          <w:szCs w:val="24"/>
          <w:u w:val="single"/>
          <w:rtl/>
        </w:rPr>
        <w:t>שמואל</w:t>
      </w:r>
      <w:r w:rsidRPr="00752B8A">
        <w:rPr>
          <w:b/>
          <w:bCs/>
          <w:sz w:val="24"/>
          <w:szCs w:val="24"/>
          <w:u w:val="single"/>
          <w:rtl/>
        </w:rPr>
        <w:t xml:space="preserve"> </w:t>
      </w:r>
      <w:r w:rsidRPr="00752B8A">
        <w:rPr>
          <w:rFonts w:hint="eastAsia"/>
          <w:b/>
          <w:bCs/>
          <w:sz w:val="24"/>
          <w:szCs w:val="24"/>
          <w:u w:val="single"/>
          <w:rtl/>
        </w:rPr>
        <w:t>ב</w:t>
      </w:r>
      <w:r w:rsidRPr="00752B8A">
        <w:rPr>
          <w:b/>
          <w:bCs/>
          <w:sz w:val="24"/>
          <w:szCs w:val="24"/>
          <w:u w:val="single"/>
          <w:rtl/>
        </w:rPr>
        <w:t>'</w:t>
      </w:r>
      <w:r w:rsidRPr="00752B8A">
        <w:rPr>
          <w:rFonts w:hint="cs"/>
          <w:b/>
          <w:bCs/>
          <w:sz w:val="24"/>
          <w:szCs w:val="24"/>
          <w:u w:val="single"/>
          <w:rtl/>
        </w:rPr>
        <w:t>, פרקים</w:t>
      </w:r>
      <w:r w:rsidRPr="00752B8A">
        <w:rPr>
          <w:b/>
          <w:bCs/>
          <w:sz w:val="24"/>
          <w:szCs w:val="24"/>
          <w:u w:val="single"/>
          <w:rtl/>
        </w:rPr>
        <w:t>: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ה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ד</w:t>
      </w:r>
      <w:r w:rsidRPr="00E17C5D">
        <w:rPr>
          <w:rtl/>
        </w:rPr>
        <w:t xml:space="preserve"> 21 – 33, </w:t>
      </w:r>
      <w:r w:rsidRPr="00E17C5D">
        <w:rPr>
          <w:rFonts w:hint="eastAsia"/>
          <w:rtl/>
        </w:rPr>
        <w:t>ט</w:t>
      </w:r>
      <w:r w:rsidRPr="00E17C5D">
        <w:rPr>
          <w:rtl/>
        </w:rPr>
        <w:t>"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ט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ח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ט</w:t>
      </w:r>
      <w:r w:rsidRPr="00E17C5D">
        <w:rPr>
          <w:rtl/>
        </w:rPr>
        <w:t xml:space="preserve">, </w:t>
      </w:r>
    </w:p>
    <w:p w:rsidR="00752B8A" w:rsidRPr="00E17C5D" w:rsidRDefault="00752B8A" w:rsidP="00752B8A">
      <w:pPr>
        <w:spacing w:line="360" w:lineRule="auto"/>
        <w:ind w:left="-58"/>
        <w:rPr>
          <w:rtl/>
        </w:rPr>
      </w:pPr>
      <w:r w:rsidRPr="00752B8A">
        <w:rPr>
          <w:rFonts w:hint="cs"/>
          <w:b/>
          <w:bCs/>
          <w:sz w:val="24"/>
          <w:szCs w:val="24"/>
          <w:u w:val="single"/>
          <w:rtl/>
        </w:rPr>
        <w:t xml:space="preserve">ספר </w:t>
      </w:r>
      <w:r w:rsidRPr="00752B8A">
        <w:rPr>
          <w:rFonts w:hint="eastAsia"/>
          <w:b/>
          <w:bCs/>
          <w:sz w:val="24"/>
          <w:szCs w:val="24"/>
          <w:u w:val="single"/>
          <w:rtl/>
        </w:rPr>
        <w:t>מלכים</w:t>
      </w:r>
      <w:r w:rsidRPr="00752B8A">
        <w:rPr>
          <w:b/>
          <w:bCs/>
          <w:sz w:val="24"/>
          <w:szCs w:val="24"/>
          <w:u w:val="single"/>
          <w:rtl/>
        </w:rPr>
        <w:t xml:space="preserve"> </w:t>
      </w:r>
      <w:r w:rsidRPr="00752B8A">
        <w:rPr>
          <w:rFonts w:hint="eastAsia"/>
          <w:b/>
          <w:bCs/>
          <w:sz w:val="24"/>
          <w:szCs w:val="24"/>
          <w:u w:val="single"/>
          <w:rtl/>
        </w:rPr>
        <w:t>א</w:t>
      </w:r>
      <w:r w:rsidRPr="00752B8A">
        <w:rPr>
          <w:b/>
          <w:bCs/>
          <w:sz w:val="24"/>
          <w:szCs w:val="24"/>
          <w:u w:val="single"/>
          <w:rtl/>
        </w:rPr>
        <w:t>'</w:t>
      </w:r>
      <w:r w:rsidRPr="00752B8A">
        <w:rPr>
          <w:rFonts w:hint="cs"/>
          <w:b/>
          <w:bCs/>
          <w:sz w:val="24"/>
          <w:szCs w:val="24"/>
          <w:u w:val="single"/>
          <w:rtl/>
        </w:rPr>
        <w:t>, פרקים</w:t>
      </w:r>
      <w:r w:rsidRPr="00752B8A">
        <w:rPr>
          <w:b/>
          <w:bCs/>
          <w:sz w:val="24"/>
          <w:szCs w:val="24"/>
          <w:u w:val="single"/>
          <w:rtl/>
        </w:rPr>
        <w:t>:</w:t>
      </w:r>
      <w:r w:rsidRPr="00E17C5D">
        <w:rPr>
          <w:b/>
          <w:bCs/>
          <w:rtl/>
        </w:rPr>
        <w:t xml:space="preserve"> 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ח</w:t>
      </w:r>
      <w:r w:rsidRPr="00E17C5D">
        <w:rPr>
          <w:rtl/>
        </w:rPr>
        <w:t>' 1 – 32</w:t>
      </w:r>
      <w:r>
        <w:rPr>
          <w:rFonts w:hint="cs"/>
          <w:rtl/>
        </w:rPr>
        <w:t>.</w:t>
      </w:r>
    </w:p>
    <w:p w:rsidR="00752B8A" w:rsidRPr="00E17C5D" w:rsidRDefault="00752B8A" w:rsidP="00752B8A">
      <w:pPr>
        <w:spacing w:line="360" w:lineRule="auto"/>
        <w:ind w:left="-58"/>
        <w:rPr>
          <w:b/>
          <w:bCs/>
          <w:rtl/>
        </w:rPr>
      </w:pPr>
      <w:r w:rsidRPr="00752B8A">
        <w:rPr>
          <w:rFonts w:hint="cs"/>
          <w:b/>
          <w:bCs/>
          <w:sz w:val="24"/>
          <w:szCs w:val="24"/>
          <w:u w:val="single"/>
          <w:rtl/>
        </w:rPr>
        <w:t xml:space="preserve">ספר </w:t>
      </w:r>
      <w:r w:rsidRPr="00752B8A">
        <w:rPr>
          <w:rFonts w:hint="eastAsia"/>
          <w:b/>
          <w:bCs/>
          <w:sz w:val="24"/>
          <w:szCs w:val="24"/>
          <w:u w:val="single"/>
          <w:rtl/>
        </w:rPr>
        <w:t>תהילים</w:t>
      </w:r>
      <w:r w:rsidRPr="00752B8A">
        <w:rPr>
          <w:rFonts w:hint="cs"/>
          <w:b/>
          <w:bCs/>
          <w:sz w:val="24"/>
          <w:szCs w:val="24"/>
          <w:u w:val="single"/>
          <w:rtl/>
        </w:rPr>
        <w:t>, פרק</w:t>
      </w:r>
      <w:r w:rsidRPr="00752B8A">
        <w:rPr>
          <w:b/>
          <w:bCs/>
          <w:sz w:val="24"/>
          <w:szCs w:val="24"/>
          <w:u w:val="single"/>
          <w:rtl/>
        </w:rPr>
        <w:t>:</w:t>
      </w:r>
      <w:r w:rsidRPr="00E17C5D">
        <w:rPr>
          <w:rtl/>
        </w:rPr>
        <w:t xml:space="preserve"> 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rtl/>
        </w:rPr>
        <w:t>נ</w:t>
      </w:r>
      <w:r w:rsidRPr="00E17C5D">
        <w:rPr>
          <w:rtl/>
        </w:rPr>
        <w:t>"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 (</w:t>
      </w:r>
      <w:r w:rsidRPr="00E17C5D">
        <w:rPr>
          <w:rFonts w:hint="eastAsia"/>
          <w:rtl/>
        </w:rPr>
        <w:t>ללמד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בהקשר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לתוכחת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נתן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בשמ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) </w:t>
      </w:r>
      <w:r w:rsidRPr="00E17C5D">
        <w:rPr>
          <w:rFonts w:hint="eastAsia"/>
          <w:rtl/>
        </w:rPr>
        <w:t>או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כל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פרק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תהילים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אחר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לבחירת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המורה</w:t>
      </w:r>
      <w:r>
        <w:rPr>
          <w:rFonts w:hint="cs"/>
          <w:b/>
          <w:bCs/>
          <w:rtl/>
        </w:rPr>
        <w:t>.</w:t>
      </w:r>
    </w:p>
    <w:p w:rsidR="00752B8A" w:rsidRPr="00752B8A" w:rsidRDefault="00752B8A" w:rsidP="00752B8A">
      <w:pPr>
        <w:rPr>
          <w:sz w:val="24"/>
          <w:szCs w:val="24"/>
        </w:rPr>
      </w:pPr>
    </w:p>
    <w:sectPr w:rsidR="00752B8A" w:rsidRPr="00752B8A" w:rsidSect="00C85690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0E5" w:rsidRDefault="00B770E5" w:rsidP="00F05DCB">
      <w:pPr>
        <w:spacing w:after="0" w:line="240" w:lineRule="auto"/>
      </w:pPr>
      <w:r>
        <w:separator/>
      </w:r>
    </w:p>
  </w:endnote>
  <w:endnote w:type="continuationSeparator" w:id="0">
    <w:p w:rsidR="00B770E5" w:rsidRDefault="00B770E5" w:rsidP="00F05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703299"/>
      <w:docPartObj>
        <w:docPartGallery w:val="Page Numbers (Bottom of Page)"/>
        <w:docPartUnique/>
      </w:docPartObj>
    </w:sdtPr>
    <w:sdtEndPr/>
    <w:sdtContent>
      <w:p w:rsidR="00F05DCB" w:rsidRDefault="00B770E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7117" w:rsidRPr="00E87117">
          <w:rPr>
            <w:rFonts w:cs="Calibri"/>
            <w:noProof/>
            <w:rtl/>
            <w:lang w:val="he-IL"/>
          </w:rPr>
          <w:t>1</w:t>
        </w:r>
        <w:r>
          <w:rPr>
            <w:rFonts w:cs="Calibri"/>
            <w:noProof/>
            <w:lang w:val="he-IL"/>
          </w:rPr>
          <w:fldChar w:fldCharType="end"/>
        </w:r>
      </w:p>
    </w:sdtContent>
  </w:sdt>
  <w:p w:rsidR="00F05DCB" w:rsidRDefault="00F05D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0E5" w:rsidRDefault="00B770E5" w:rsidP="00F05DCB">
      <w:pPr>
        <w:spacing w:after="0" w:line="240" w:lineRule="auto"/>
      </w:pPr>
      <w:r>
        <w:separator/>
      </w:r>
    </w:p>
  </w:footnote>
  <w:footnote w:type="continuationSeparator" w:id="0">
    <w:p w:rsidR="00B770E5" w:rsidRDefault="00B770E5" w:rsidP="00F05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54D1C"/>
    <w:multiLevelType w:val="multilevel"/>
    <w:tmpl w:val="CD54C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D492B34"/>
    <w:multiLevelType w:val="multilevel"/>
    <w:tmpl w:val="5544A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DCB"/>
    <w:rsid w:val="000C0DB0"/>
    <w:rsid w:val="00752B8A"/>
    <w:rsid w:val="008A5E8A"/>
    <w:rsid w:val="009E756F"/>
    <w:rsid w:val="00B770E5"/>
    <w:rsid w:val="00B927E9"/>
    <w:rsid w:val="00C85690"/>
    <w:rsid w:val="00E87117"/>
    <w:rsid w:val="00F0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05D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F05DCB"/>
  </w:style>
  <w:style w:type="paragraph" w:styleId="a5">
    <w:name w:val="footer"/>
    <w:basedOn w:val="a"/>
    <w:link w:val="a6"/>
    <w:uiPriority w:val="99"/>
    <w:unhideWhenUsed/>
    <w:rsid w:val="00F05D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05D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05D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F05DCB"/>
  </w:style>
  <w:style w:type="paragraph" w:styleId="a5">
    <w:name w:val="footer"/>
    <w:basedOn w:val="a"/>
    <w:link w:val="a6"/>
    <w:uiPriority w:val="99"/>
    <w:unhideWhenUsed/>
    <w:rsid w:val="00F05D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05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Leonid</cp:lastModifiedBy>
  <cp:revision>2</cp:revision>
  <cp:lastPrinted>2012-08-25T11:00:00Z</cp:lastPrinted>
  <dcterms:created xsi:type="dcterms:W3CDTF">2012-08-25T21:37:00Z</dcterms:created>
  <dcterms:modified xsi:type="dcterms:W3CDTF">2012-08-25T21:37:00Z</dcterms:modified>
</cp:coreProperties>
</file>